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13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Date: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&lt;</w:t>
      </w:r>
      <w:r>
        <w:rPr>
          <w:color w:val="2E5395"/>
          <w:sz w:val="22"/>
        </w:rPr>
        <w:t>Insert</w:t>
      </w:r>
      <w:r>
        <w:rPr>
          <w:color w:val="2E5395"/>
          <w:spacing w:val="-3"/>
          <w:sz w:val="22"/>
        </w:rPr>
        <w:t> </w:t>
      </w:r>
      <w:r>
        <w:rPr>
          <w:color w:val="2E5395"/>
          <w:spacing w:val="-4"/>
          <w:sz w:val="22"/>
        </w:rPr>
        <w:t>Date</w:t>
      </w:r>
      <w:r>
        <w:rPr>
          <w:spacing w:val="-4"/>
          <w:sz w:val="22"/>
        </w:rPr>
        <w:t>&gt;</w:t>
      </w:r>
    </w:p>
    <w:p>
      <w:pPr>
        <w:spacing w:before="247"/>
        <w:ind w:left="13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Attn:</w:t>
      </w:r>
      <w:r>
        <w:rPr>
          <w:rFonts w:ascii="Arial"/>
          <w:b/>
          <w:spacing w:val="-1"/>
          <w:sz w:val="22"/>
        </w:rPr>
        <w:t> </w:t>
      </w:r>
      <w:r>
        <w:rPr>
          <w:spacing w:val="-2"/>
          <w:sz w:val="22"/>
        </w:rPr>
        <w:t>&lt;</w:t>
      </w:r>
      <w:r>
        <w:rPr>
          <w:color w:val="2E5395"/>
          <w:spacing w:val="-2"/>
          <w:sz w:val="22"/>
        </w:rPr>
        <w:t>Department</w:t>
      </w:r>
      <w:r>
        <w:rPr>
          <w:spacing w:val="-2"/>
          <w:sz w:val="22"/>
        </w:rPr>
        <w:t>&gt;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5186" w:val="left" w:leader="none"/>
        </w:tabs>
        <w:ind w:left="130"/>
      </w:pPr>
      <w:r>
        <w:rPr/>
        <w:t>&lt;</w:t>
      </w:r>
      <w:r>
        <w:rPr>
          <w:color w:val="2E5395"/>
        </w:rPr>
        <w:t>Name</w:t>
      </w:r>
      <w:r>
        <w:rPr>
          <w:color w:val="2E5395"/>
          <w:spacing w:val="-4"/>
        </w:rPr>
        <w:t> </w:t>
      </w:r>
      <w:r>
        <w:rPr>
          <w:color w:val="2E5395"/>
        </w:rPr>
        <w:t>of health</w:t>
      </w:r>
      <w:r>
        <w:rPr>
          <w:color w:val="2E5395"/>
          <w:spacing w:val="-3"/>
        </w:rPr>
        <w:t> </w:t>
      </w:r>
      <w:r>
        <w:rPr>
          <w:color w:val="2E5395"/>
          <w:spacing w:val="-4"/>
        </w:rPr>
        <w:t>plan</w:t>
      </w:r>
      <w:r>
        <w:rPr>
          <w:spacing w:val="-4"/>
        </w:rPr>
        <w:t>&gt;</w:t>
      </w:r>
      <w:r>
        <w:rPr/>
        <w:tab/>
        <w:t>&lt;</w:t>
      </w:r>
      <w:r>
        <w:rPr>
          <w:color w:val="2E5395"/>
        </w:rPr>
        <w:t>Case</w:t>
      </w:r>
      <w:r>
        <w:rPr>
          <w:color w:val="2E5395"/>
          <w:spacing w:val="-4"/>
        </w:rPr>
        <w:t> </w:t>
      </w:r>
      <w:r>
        <w:rPr>
          <w:color w:val="2E5395"/>
        </w:rPr>
        <w:t>ID</w:t>
      </w:r>
      <w:r>
        <w:rPr>
          <w:color w:val="2E5395"/>
          <w:spacing w:val="-2"/>
        </w:rPr>
        <w:t> </w:t>
      </w:r>
      <w:r>
        <w:rPr>
          <w:color w:val="2E5395"/>
        </w:rPr>
        <w:t>Number</w:t>
      </w:r>
      <w:r>
        <w:rPr>
          <w:color w:val="2E5395"/>
          <w:spacing w:val="-1"/>
        </w:rPr>
        <w:t> </w:t>
      </w:r>
      <w:r>
        <w:rPr>
          <w:color w:val="2E5395"/>
        </w:rPr>
        <w:t>if </w:t>
      </w:r>
      <w:r>
        <w:rPr>
          <w:color w:val="2E5395"/>
          <w:spacing w:val="-2"/>
        </w:rPr>
        <w:t>available</w:t>
      </w:r>
      <w:r>
        <w:rPr>
          <w:spacing w:val="-2"/>
        </w:rPr>
        <w:t>&gt;</w:t>
      </w:r>
    </w:p>
    <w:p>
      <w:pPr>
        <w:tabs>
          <w:tab w:pos="5186" w:val="left" w:leader="none"/>
        </w:tabs>
        <w:spacing w:before="243"/>
        <w:ind w:left="130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Payer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Address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&lt;</w:t>
      </w:r>
      <w:r>
        <w:rPr>
          <w:color w:val="2E5395"/>
          <w:sz w:val="22"/>
        </w:rPr>
        <w:t>Insert</w:t>
      </w:r>
      <w:r>
        <w:rPr>
          <w:color w:val="2E5395"/>
          <w:spacing w:val="-3"/>
          <w:sz w:val="22"/>
        </w:rPr>
        <w:t> </w:t>
      </w:r>
      <w:r>
        <w:rPr>
          <w:color w:val="2E5395"/>
          <w:sz w:val="22"/>
        </w:rPr>
        <w:t>plan</w:t>
      </w:r>
      <w:r>
        <w:rPr>
          <w:color w:val="2E5395"/>
          <w:spacing w:val="-2"/>
          <w:sz w:val="22"/>
        </w:rPr>
        <w:t> address(es)</w:t>
      </w:r>
      <w:r>
        <w:rPr>
          <w:spacing w:val="-2"/>
          <w:sz w:val="22"/>
        </w:rPr>
        <w:t>&gt;</w:t>
      </w:r>
      <w:r>
        <w:rPr>
          <w:sz w:val="22"/>
        </w:rPr>
        <w:tab/>
      </w:r>
      <w:r>
        <w:rPr>
          <w:rFonts w:ascii="Arial"/>
          <w:b/>
          <w:sz w:val="22"/>
        </w:rPr>
        <w:t>Payer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Fax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Number:</w:t>
      </w:r>
      <w:r>
        <w:rPr>
          <w:rFonts w:ascii="Arial"/>
          <w:b/>
          <w:spacing w:val="1"/>
          <w:sz w:val="22"/>
        </w:rPr>
        <w:t> </w:t>
      </w:r>
      <w:r>
        <w:rPr>
          <w:sz w:val="22"/>
        </w:rPr>
        <w:t>&lt;</w:t>
      </w:r>
      <w:r>
        <w:rPr>
          <w:color w:val="2E5395"/>
          <w:sz w:val="22"/>
        </w:rPr>
        <w:t>Insert</w:t>
      </w:r>
      <w:r>
        <w:rPr>
          <w:color w:val="2E5395"/>
          <w:spacing w:val="-5"/>
          <w:sz w:val="22"/>
        </w:rPr>
        <w:t> </w:t>
      </w:r>
      <w:r>
        <w:rPr>
          <w:color w:val="2E5395"/>
          <w:sz w:val="22"/>
        </w:rPr>
        <w:t>plan</w:t>
      </w:r>
      <w:r>
        <w:rPr>
          <w:color w:val="2E5395"/>
          <w:spacing w:val="-4"/>
          <w:sz w:val="22"/>
        </w:rPr>
        <w:t> </w:t>
      </w:r>
      <w:r>
        <w:rPr>
          <w:color w:val="2E5395"/>
          <w:sz w:val="22"/>
        </w:rPr>
        <w:t>fax</w:t>
      </w:r>
      <w:r>
        <w:rPr>
          <w:color w:val="2E5395"/>
          <w:spacing w:val="-5"/>
          <w:sz w:val="22"/>
        </w:rPr>
        <w:t> </w:t>
      </w:r>
      <w:r>
        <w:rPr>
          <w:color w:val="2E5395"/>
          <w:spacing w:val="-2"/>
          <w:sz w:val="22"/>
        </w:rPr>
        <w:t>number(s)</w:t>
      </w:r>
      <w:r>
        <w:rPr>
          <w:spacing w:val="-2"/>
          <w:sz w:val="22"/>
        </w:rPr>
        <w:t>&gt;</w:t>
      </w: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BodyText"/>
        <w:ind w:left="144"/>
      </w:pPr>
      <w:r>
        <w:rPr/>
        <w:t>To</w:t>
      </w:r>
      <w:r>
        <w:rPr>
          <w:spacing w:val="-11"/>
        </w:rPr>
        <w:t> </w:t>
      </w:r>
      <w:r>
        <w:rPr/>
        <w:t>Whom</w:t>
      </w:r>
      <w:r>
        <w:rPr>
          <w:spacing w:val="-6"/>
        </w:rPr>
        <w:t> </w:t>
      </w:r>
      <w:r>
        <w:rPr/>
        <w:t>It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>
          <w:spacing w:val="-2"/>
        </w:rPr>
        <w:t>Concern:</w:t>
      </w:r>
    </w:p>
    <w:p>
      <w:pPr>
        <w:pStyle w:val="BodyText"/>
        <w:spacing w:before="135"/>
        <w:ind w:left="130"/>
      </w:pPr>
      <w:r>
        <w:rPr/>
        <w:t>I</w:t>
      </w:r>
      <w:r>
        <w:rPr>
          <w:spacing w:val="-5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4"/>
        </w:rPr>
        <w:t> </w:t>
      </w:r>
      <w:r>
        <w:rPr/>
        <w:t>&lt;</w:t>
      </w:r>
      <w:r>
        <w:rPr>
          <w:color w:val="2E5395"/>
        </w:rPr>
        <w:t>Insert</w:t>
      </w:r>
      <w:r>
        <w:rPr>
          <w:color w:val="2E5395"/>
          <w:spacing w:val="-1"/>
        </w:rPr>
        <w:t> </w:t>
      </w:r>
      <w:r>
        <w:rPr>
          <w:color w:val="2E5395"/>
        </w:rPr>
        <w:t>plan</w:t>
      </w:r>
      <w:r>
        <w:rPr>
          <w:color w:val="2E5395"/>
          <w:spacing w:val="-2"/>
        </w:rPr>
        <w:t> </w:t>
      </w:r>
      <w:r>
        <w:rPr>
          <w:color w:val="2E5395"/>
        </w:rPr>
        <w:t>name</w:t>
      </w:r>
      <w:r>
        <w:rPr/>
        <w:t>&gt;</w:t>
      </w:r>
      <w:r>
        <w:rPr>
          <w:spacing w:val="-6"/>
        </w:rPr>
        <w:t> </w:t>
      </w:r>
      <w:r>
        <w:rPr/>
        <w:t>has</w:t>
      </w:r>
      <w:r>
        <w:rPr>
          <w:spacing w:val="-5"/>
        </w:rPr>
        <w:t> </w:t>
      </w:r>
      <w:r>
        <w:rPr/>
        <w:t>decided</w:t>
      </w:r>
      <w:r>
        <w:rPr>
          <w:spacing w:val="2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provide coverage</w:t>
      </w:r>
      <w:r>
        <w:rPr>
          <w:spacing w:val="-4"/>
        </w:rPr>
        <w:t> </w:t>
      </w:r>
      <w:r>
        <w:rPr>
          <w:spacing w:val="-5"/>
        </w:rPr>
        <w:t>for</w:t>
      </w:r>
    </w:p>
    <w:p>
      <w:pPr>
        <w:pStyle w:val="BodyText"/>
        <w:spacing w:line="254" w:lineRule="auto" w:before="15"/>
        <w:ind w:left="130" w:right="464"/>
      </w:pPr>
      <w:r>
        <w:rPr/>
        <w:t>RELISTOR</w:t>
      </w:r>
      <w:r>
        <w:rPr>
          <w:vertAlign w:val="superscript"/>
        </w:rPr>
        <w:t>®</w:t>
      </w:r>
      <w:r>
        <w:rPr>
          <w:vertAlign w:val="baseline"/>
        </w:rPr>
        <w:t> (methylnaltrexone bromide).</w:t>
      </w:r>
      <w:r>
        <w:rPr>
          <w:spacing w:val="20"/>
          <w:vertAlign w:val="baseline"/>
        </w:rPr>
        <w:t> </w:t>
      </w:r>
      <w:r>
        <w:rPr>
          <w:vertAlign w:val="baseline"/>
        </w:rPr>
        <w:t>However, I believe that &lt;</w:t>
      </w:r>
      <w:r>
        <w:rPr>
          <w:color w:val="2E5395"/>
          <w:vertAlign w:val="baseline"/>
        </w:rPr>
        <w:t>Insert patient name</w:t>
      </w:r>
      <w:r>
        <w:rPr>
          <w:vertAlign w:val="baseline"/>
        </w:rPr>
        <w:t>&gt; requires</w:t>
      </w:r>
      <w:r>
        <w:rPr>
          <w:spacing w:val="40"/>
          <w:vertAlign w:val="baseline"/>
        </w:rPr>
        <w:t> </w:t>
      </w:r>
      <w:r>
        <w:rPr>
          <w:vertAlign w:val="baseline"/>
        </w:rPr>
        <w:t>RELISTOR</w:t>
      </w:r>
      <w:r>
        <w:rPr>
          <w:vertAlign w:val="superscript"/>
        </w:rPr>
        <w:t>®</w:t>
      </w:r>
      <w:r>
        <w:rPr>
          <w:spacing w:val="-9"/>
          <w:vertAlign w:val="baseline"/>
        </w:rPr>
        <w:t> </w:t>
      </w:r>
      <w:r>
        <w:rPr>
          <w:vertAlign w:val="baseline"/>
        </w:rPr>
        <w:t>(methylnaltrexone</w:t>
      </w:r>
      <w:r>
        <w:rPr>
          <w:spacing w:val="-9"/>
          <w:vertAlign w:val="baseline"/>
        </w:rPr>
        <w:t> </w:t>
      </w:r>
      <w:r>
        <w:rPr>
          <w:vertAlign w:val="baseline"/>
        </w:rPr>
        <w:t>bromide)</w:t>
      </w:r>
      <w:r>
        <w:rPr>
          <w:spacing w:val="-8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-7"/>
          <w:vertAlign w:val="baseline"/>
        </w:rPr>
        <w:t> </w:t>
      </w:r>
      <w:r>
        <w:rPr>
          <w:vertAlign w:val="baseline"/>
        </w:rPr>
        <w:t>restriction</w:t>
      </w:r>
      <w:r>
        <w:rPr>
          <w:spacing w:val="-5"/>
          <w:vertAlign w:val="baseline"/>
        </w:rPr>
        <w:t> </w:t>
      </w:r>
      <w:r>
        <w:rPr>
          <w:vertAlign w:val="baseline"/>
        </w:rPr>
        <w:t>due</w:t>
      </w:r>
      <w:r>
        <w:rPr>
          <w:spacing w:val="-10"/>
          <w:vertAlign w:val="baseline"/>
        </w:rPr>
        <w:t> </w:t>
      </w:r>
      <w:r>
        <w:rPr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-11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medical</w:t>
      </w:r>
      <w:r>
        <w:rPr>
          <w:spacing w:val="-8"/>
          <w:vertAlign w:val="baseline"/>
        </w:rPr>
        <w:t> </w:t>
      </w:r>
      <w:r>
        <w:rPr>
          <w:vertAlign w:val="baseline"/>
        </w:rPr>
        <w:t>circumstances.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Please</w:t>
      </w:r>
    </w:p>
    <w:p>
      <w:pPr>
        <w:pStyle w:val="BodyText"/>
        <w:spacing w:line="254" w:lineRule="auto" w:before="1"/>
        <w:ind w:left="130"/>
      </w:pPr>
      <w:r>
        <w:rPr/>
        <w:t>see</w:t>
      </w:r>
      <w:r>
        <w:rPr>
          <w:spacing w:val="-3"/>
        </w:rPr>
        <w:t> </w:t>
      </w:r>
      <w:r>
        <w:rPr/>
        <w:t>below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details about the</w:t>
      </w:r>
      <w:r>
        <w:rPr>
          <w:spacing w:val="-3"/>
        </w:rPr>
        <w:t> </w:t>
      </w:r>
      <w:r>
        <w:rPr/>
        <w:t>medical</w:t>
      </w:r>
      <w:r>
        <w:rPr>
          <w:spacing w:val="-5"/>
        </w:rPr>
        <w:t> </w:t>
      </w:r>
      <w:r>
        <w:rPr/>
        <w:t>history</w:t>
      </w:r>
      <w:r>
        <w:rPr>
          <w:spacing w:val="-4"/>
        </w:rPr>
        <w:t> </w:t>
      </w:r>
      <w:r>
        <w:rPr/>
        <w:t>and treatment rationale that supports</w:t>
      </w:r>
      <w:r>
        <w:rPr>
          <w:spacing w:val="-4"/>
        </w:rPr>
        <w:t> </w:t>
      </w:r>
      <w:r>
        <w:rPr/>
        <w:t>the claim</w:t>
      </w:r>
      <w:r>
        <w:rPr>
          <w:spacing w:val="-6"/>
        </w:rPr>
        <w:t> </w:t>
      </w:r>
      <w:r>
        <w:rPr/>
        <w:t>for</w:t>
      </w:r>
      <w:r>
        <w:rPr>
          <w:spacing w:val="-1"/>
        </w:rPr>
        <w:t> </w:t>
      </w:r>
      <w:r>
        <w:rPr/>
        <w:t>this medical exception request.</w:t>
      </w:r>
    </w:p>
    <w:p>
      <w:pPr>
        <w:pStyle w:val="Heading1"/>
        <w:spacing w:before="111"/>
        <w:ind w:left="130"/>
      </w:pPr>
      <w:r>
        <w:rPr/>
        <w:t>Patient</w:t>
      </w:r>
      <w:r>
        <w:rPr>
          <w:spacing w:val="-3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0"/>
        <w:ind w:left="0"/>
        <w:rPr>
          <w:rFonts w:ascii="Arial"/>
          <w:b/>
          <w:sz w:val="11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2"/>
        <w:gridCol w:w="2583"/>
        <w:gridCol w:w="3789"/>
      </w:tblGrid>
      <w:tr>
        <w:trPr>
          <w:trHeight w:val="561" w:hRule="atLeast"/>
        </w:trPr>
        <w:tc>
          <w:tcPr>
            <w:tcW w:w="7015" w:type="dxa"/>
            <w:gridSpan w:val="2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Patient’s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3789" w:type="dxa"/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Birth</w:t>
            </w:r>
          </w:p>
        </w:tc>
      </w:tr>
      <w:tr>
        <w:trPr>
          <w:trHeight w:val="561" w:hRule="atLeast"/>
        </w:trPr>
        <w:tc>
          <w:tcPr>
            <w:tcW w:w="10804" w:type="dxa"/>
            <w:gridSpan w:val="3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Patient’s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</w:p>
        </w:tc>
      </w:tr>
      <w:tr>
        <w:trPr>
          <w:trHeight w:val="566" w:hRule="atLeast"/>
        </w:trPr>
        <w:tc>
          <w:tcPr>
            <w:tcW w:w="4432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City</w:t>
            </w:r>
          </w:p>
        </w:tc>
        <w:tc>
          <w:tcPr>
            <w:tcW w:w="2583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State</w:t>
            </w:r>
          </w:p>
        </w:tc>
        <w:tc>
          <w:tcPr>
            <w:tcW w:w="3789" w:type="dxa"/>
          </w:tcPr>
          <w:p>
            <w:pPr>
              <w:pStyle w:val="TableParagraph"/>
              <w:spacing w:before="3"/>
              <w:ind w:left="110"/>
              <w:rPr>
                <w:sz w:val="22"/>
              </w:rPr>
            </w:pPr>
            <w:r>
              <w:rPr>
                <w:sz w:val="22"/>
              </w:rPr>
              <w:t>Zip </w:t>
            </w:r>
            <w:r>
              <w:rPr>
                <w:spacing w:val="-4"/>
                <w:sz w:val="22"/>
              </w:rPr>
              <w:t>Code</w:t>
            </w:r>
          </w:p>
        </w:tc>
      </w:tr>
      <w:tr>
        <w:trPr>
          <w:trHeight w:val="561" w:hRule="atLeast"/>
        </w:trPr>
        <w:tc>
          <w:tcPr>
            <w:tcW w:w="4432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Member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</w:p>
        </w:tc>
        <w:tc>
          <w:tcPr>
            <w:tcW w:w="6372" w:type="dxa"/>
            <w:gridSpan w:val="2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Policy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0"/>
                <w:sz w:val="22"/>
              </w:rPr>
              <w:t>#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253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approval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drug</w:t>
      </w:r>
      <w:r>
        <w:rPr>
          <w:spacing w:val="-3"/>
          <w:sz w:val="22"/>
        </w:rPr>
        <w:t> </w:t>
      </w:r>
      <w:r>
        <w:rPr>
          <w:sz w:val="22"/>
        </w:rPr>
        <w:t>that 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plan’s list of</w:t>
      </w:r>
      <w:r>
        <w:rPr>
          <w:spacing w:val="1"/>
          <w:sz w:val="22"/>
        </w:rPr>
        <w:t> </w:t>
      </w:r>
      <w:r>
        <w:rPr>
          <w:sz w:val="22"/>
        </w:rPr>
        <w:t>covered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drugs</w:t>
      </w:r>
    </w:p>
    <w:p>
      <w:pPr>
        <w:pStyle w:val="ListParagraph"/>
        <w:numPr>
          <w:ilvl w:val="0"/>
          <w:numId w:val="1"/>
        </w:numPr>
        <w:tabs>
          <w:tab w:pos="139" w:val="left" w:leader="none"/>
          <w:tab w:pos="411" w:val="left" w:leader="none"/>
        </w:tabs>
        <w:spacing w:line="256" w:lineRule="auto" w:before="128" w:after="0"/>
        <w:ind w:left="139" w:right="420" w:hanging="10"/>
        <w:jc w:val="left"/>
        <w:rPr>
          <w:sz w:val="22"/>
        </w:rPr>
      </w:pPr>
      <w:r>
        <w:rPr>
          <w:sz w:val="22"/>
        </w:rPr>
        <w:t>I</w:t>
      </w:r>
      <w:r>
        <w:rPr>
          <w:spacing w:val="21"/>
          <w:sz w:val="22"/>
        </w:rPr>
        <w:t> </w:t>
      </w:r>
      <w:r>
        <w:rPr>
          <w:sz w:val="22"/>
        </w:rPr>
        <w:t>have</w:t>
      </w:r>
      <w:r>
        <w:rPr>
          <w:spacing w:val="26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using</w:t>
      </w:r>
      <w:r>
        <w:rPr>
          <w:spacing w:val="26"/>
          <w:sz w:val="22"/>
        </w:rPr>
        <w:t> </w:t>
      </w:r>
      <w:r>
        <w:rPr>
          <w:sz w:val="22"/>
        </w:rPr>
        <w:t>a</w:t>
      </w:r>
      <w:r>
        <w:rPr>
          <w:spacing w:val="26"/>
          <w:sz w:val="22"/>
        </w:rPr>
        <w:t> </w:t>
      </w:r>
      <w:r>
        <w:rPr>
          <w:sz w:val="22"/>
        </w:rPr>
        <w:t>drug</w:t>
      </w:r>
      <w:r>
        <w:rPr>
          <w:spacing w:val="26"/>
          <w:sz w:val="22"/>
        </w:rPr>
        <w:t> </w:t>
      </w:r>
      <w:r>
        <w:rPr>
          <w:sz w:val="22"/>
        </w:rPr>
        <w:t>that</w:t>
      </w:r>
      <w:r>
        <w:rPr>
          <w:spacing w:val="26"/>
          <w:sz w:val="22"/>
        </w:rPr>
        <w:t> </w:t>
      </w:r>
      <w:r>
        <w:rPr>
          <w:sz w:val="22"/>
        </w:rPr>
        <w:t>was</w:t>
      </w:r>
      <w:r>
        <w:rPr>
          <w:spacing w:val="25"/>
          <w:sz w:val="22"/>
        </w:rPr>
        <w:t> </w:t>
      </w:r>
      <w:r>
        <w:rPr>
          <w:sz w:val="22"/>
        </w:rPr>
        <w:t>previously</w:t>
      </w:r>
      <w:r>
        <w:rPr>
          <w:spacing w:val="25"/>
          <w:sz w:val="22"/>
        </w:rPr>
        <w:t> </w:t>
      </w:r>
      <w:r>
        <w:rPr>
          <w:sz w:val="22"/>
        </w:rPr>
        <w:t>included</w:t>
      </w:r>
      <w:r>
        <w:rPr>
          <w:spacing w:val="27"/>
          <w:sz w:val="22"/>
        </w:rPr>
        <w:t> </w:t>
      </w:r>
      <w:r>
        <w:rPr>
          <w:sz w:val="22"/>
        </w:rPr>
        <w:t>on</w:t>
      </w:r>
      <w:r>
        <w:rPr>
          <w:spacing w:val="26"/>
          <w:sz w:val="22"/>
        </w:rPr>
        <w:t> </w:t>
      </w:r>
      <w:r>
        <w:rPr>
          <w:sz w:val="22"/>
        </w:rPr>
        <w:t>the</w:t>
      </w:r>
      <w:r>
        <w:rPr>
          <w:spacing w:val="26"/>
          <w:sz w:val="22"/>
        </w:rPr>
        <w:t> </w:t>
      </w:r>
      <w:r>
        <w:rPr>
          <w:sz w:val="22"/>
        </w:rPr>
        <w:t>plan’s</w:t>
      </w:r>
      <w:r>
        <w:rPr>
          <w:spacing w:val="30"/>
          <w:sz w:val="22"/>
        </w:rPr>
        <w:t> </w:t>
      </w:r>
      <w:r>
        <w:rPr>
          <w:sz w:val="22"/>
        </w:rPr>
        <w:t>list</w:t>
      </w:r>
      <w:r>
        <w:rPr>
          <w:spacing w:val="26"/>
          <w:sz w:val="22"/>
        </w:rPr>
        <w:t> </w:t>
      </w:r>
      <w:r>
        <w:rPr>
          <w:sz w:val="22"/>
        </w:rPr>
        <w:t>of</w:t>
      </w:r>
      <w:r>
        <w:rPr>
          <w:spacing w:val="31"/>
          <w:sz w:val="22"/>
        </w:rPr>
        <w:t> </w:t>
      </w:r>
      <w:r>
        <w:rPr>
          <w:sz w:val="22"/>
        </w:rPr>
        <w:t>covered</w:t>
      </w:r>
      <w:r>
        <w:rPr>
          <w:spacing w:val="27"/>
          <w:sz w:val="22"/>
        </w:rPr>
        <w:t> </w:t>
      </w:r>
      <w:r>
        <w:rPr>
          <w:sz w:val="22"/>
        </w:rPr>
        <w:t>drugs,</w:t>
      </w:r>
      <w:r>
        <w:rPr>
          <w:spacing w:val="26"/>
          <w:sz w:val="22"/>
        </w:rPr>
        <w:t> </w:t>
      </w:r>
      <w:r>
        <w:rPr>
          <w:sz w:val="22"/>
        </w:rPr>
        <w:t>but</w:t>
      </w:r>
      <w:r>
        <w:rPr>
          <w:spacing w:val="26"/>
          <w:sz w:val="22"/>
        </w:rPr>
        <w:t> </w:t>
      </w:r>
      <w:r>
        <w:rPr>
          <w:sz w:val="22"/>
        </w:rPr>
        <w:t>is</w:t>
      </w:r>
      <w:r>
        <w:rPr>
          <w:spacing w:val="25"/>
          <w:sz w:val="22"/>
        </w:rPr>
        <w:t> </w:t>
      </w:r>
      <w:r>
        <w:rPr>
          <w:sz w:val="22"/>
        </w:rPr>
        <w:t>being removed or was removed from this list during the plan year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112" w:after="0"/>
        <w:ind w:left="383" w:right="0" w:hanging="253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exception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requirement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my</w:t>
      </w:r>
      <w:r>
        <w:rPr>
          <w:spacing w:val="-1"/>
          <w:sz w:val="22"/>
        </w:rPr>
        <w:t> </w:t>
      </w:r>
      <w:r>
        <w:rPr>
          <w:sz w:val="22"/>
        </w:rPr>
        <w:t>patient try</w:t>
      </w:r>
      <w:r>
        <w:rPr>
          <w:spacing w:val="-5"/>
          <w:sz w:val="22"/>
        </w:rPr>
        <w:t> </w:t>
      </w:r>
      <w:r>
        <w:rPr>
          <w:sz w:val="22"/>
        </w:rPr>
        <w:t>another</w:t>
      </w:r>
      <w:r>
        <w:rPr>
          <w:spacing w:val="-7"/>
          <w:sz w:val="22"/>
        </w:rPr>
        <w:t> </w:t>
      </w:r>
      <w:r>
        <w:rPr>
          <w:sz w:val="22"/>
        </w:rPr>
        <w:t>drug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1"/>
          <w:sz w:val="22"/>
        </w:rPr>
        <w:t> </w:t>
      </w:r>
      <w:r>
        <w:rPr>
          <w:sz w:val="22"/>
        </w:rPr>
        <w:t>prescribe</w:t>
      </w:r>
      <w:r>
        <w:rPr>
          <w:spacing w:val="-8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drug</w:t>
      </w:r>
    </w:p>
    <w:p>
      <w:pPr>
        <w:pStyle w:val="BodyText"/>
        <w:spacing w:before="8"/>
        <w:ind w:left="0"/>
        <w:rPr>
          <w:sz w:val="11"/>
        </w:rPr>
      </w:pPr>
    </w:p>
    <w:tbl>
      <w:tblPr>
        <w:tblW w:w="0" w:type="auto"/>
        <w:jc w:val="left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2"/>
        <w:gridCol w:w="1263"/>
        <w:gridCol w:w="1364"/>
        <w:gridCol w:w="4490"/>
      </w:tblGrid>
      <w:tr>
        <w:trPr>
          <w:trHeight w:val="2092" w:hRule="atLeast"/>
        </w:trPr>
        <w:tc>
          <w:tcPr>
            <w:tcW w:w="1089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Medication: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0" w:val="left" w:leader="none"/>
              </w:tabs>
              <w:spacing w:line="240" w:lineRule="auto" w:before="143" w:after="0"/>
              <w:ind w:left="370" w:right="0" w:hanging="253"/>
              <w:jc w:val="left"/>
              <w:rPr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Relistor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Tablets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methylnaltrexone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bromide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150mg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tablets)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daily.</w:t>
            </w:r>
          </w:p>
          <w:p>
            <w:pPr>
              <w:pStyle w:val="TableParagraph"/>
              <w:spacing w:before="142"/>
              <w:ind w:left="11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Relistor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Injection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0" w:val="left" w:leader="none"/>
              </w:tabs>
              <w:spacing w:line="240" w:lineRule="auto" w:before="143" w:after="0"/>
              <w:ind w:left="370" w:right="0" w:hanging="253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mg/0.4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methylnaltrexone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bromide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single-dose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pre-filled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syringe.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3" w:val="left" w:leader="none"/>
              </w:tabs>
              <w:spacing w:line="240" w:lineRule="auto" w:before="144" w:after="0"/>
              <w:ind w:left="303" w:right="0" w:hanging="19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mg/0.6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methylnaltrexone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bromide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single-dose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pre-filled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syringe,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single-dose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vial.</w:t>
            </w:r>
          </w:p>
        </w:tc>
      </w:tr>
      <w:tr>
        <w:trPr>
          <w:trHeight w:val="815" w:hRule="atLeast"/>
        </w:trPr>
        <w:tc>
          <w:tcPr>
            <w:tcW w:w="50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117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Started:</w:t>
            </w:r>
          </w:p>
        </w:tc>
        <w:tc>
          <w:tcPr>
            <w:tcW w:w="5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z w:val="22"/>
              </w:rPr>
              <w:t>Expected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Length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Therapy:</w:t>
            </w:r>
          </w:p>
        </w:tc>
      </w:tr>
      <w:tr>
        <w:trPr>
          <w:trHeight w:val="1310" w:hRule="atLeast"/>
        </w:trPr>
        <w:tc>
          <w:tcPr>
            <w:tcW w:w="1089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Diagnosis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 Please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list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all</w:t>
            </w:r>
            <w:r>
              <w:rPr>
                <w:rFonts w:ascii="Arial" w:hAnsi="Arial"/>
                <w:b/>
                <w:spacing w:val="-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diagnoses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being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treated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with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the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requested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drug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and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corresponding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ICD-10 </w:t>
            </w:r>
            <w:r>
              <w:rPr>
                <w:rFonts w:ascii="Arial" w:hAnsi="Arial"/>
                <w:b/>
                <w:spacing w:val="-2"/>
                <w:sz w:val="22"/>
              </w:rPr>
              <w:t>codes.</w:t>
            </w:r>
          </w:p>
          <w:p>
            <w:pPr>
              <w:pStyle w:val="TableParagraph"/>
              <w:tabs>
                <w:tab w:pos="1255" w:val="left" w:leader="none"/>
                <w:tab w:pos="2353" w:val="left" w:leader="none"/>
              </w:tabs>
              <w:spacing w:before="121"/>
              <w:ind w:left="117"/>
              <w:rPr>
                <w:rFonts w:ascii="Times New Roman" w:hAnsi="Times New Roman"/>
                <w:sz w:val="22"/>
              </w:rPr>
            </w:pPr>
            <w:r>
              <w:rPr>
                <w:sz w:val="22"/>
              </w:rPr>
              <w:t>□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K59.03</w:t>
            </w:r>
            <w:r>
              <w:rPr>
                <w:sz w:val="22"/>
              </w:rPr>
              <w:tab/>
              <w:t>□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</w:p>
        </w:tc>
      </w:tr>
      <w:tr>
        <w:trPr>
          <w:trHeight w:val="811" w:hRule="atLeast"/>
        </w:trPr>
        <w:tc>
          <w:tcPr>
            <w:tcW w:w="10899" w:type="dxa"/>
            <w:gridSpan w:val="4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1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Drug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History: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treatment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drug)</w:t>
            </w:r>
          </w:p>
        </w:tc>
      </w:tr>
      <w:tr>
        <w:trPr>
          <w:trHeight w:val="786" w:hRule="atLeast"/>
        </w:trPr>
        <w:tc>
          <w:tcPr>
            <w:tcW w:w="3782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Drug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Tried</w:t>
            </w:r>
          </w:p>
        </w:tc>
        <w:tc>
          <w:tcPr>
            <w:tcW w:w="26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12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Drug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Trials</w:t>
            </w:r>
          </w:p>
        </w:tc>
        <w:tc>
          <w:tcPr>
            <w:tcW w:w="44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6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Results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previous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drug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trials</w:t>
            </w:r>
          </w:p>
        </w:tc>
      </w:tr>
    </w:tbl>
    <w:p>
      <w:pPr>
        <w:pStyle w:val="TableParagraph"/>
        <w:spacing w:after="0" w:line="248" w:lineRule="exact"/>
        <w:rPr>
          <w:rFonts w:ascii="Arial"/>
          <w:b/>
          <w:sz w:val="22"/>
        </w:rPr>
        <w:sectPr>
          <w:type w:val="continuous"/>
          <w:pgSz w:w="12240" w:h="15840"/>
          <w:pgMar w:top="760" w:bottom="488" w:left="720" w:right="360"/>
        </w:sectPr>
      </w:pPr>
    </w:p>
    <w:tbl>
      <w:tblPr>
        <w:tblW w:w="0" w:type="auto"/>
        <w:jc w:val="left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8"/>
        <w:gridCol w:w="252"/>
      </w:tblGrid>
      <w:tr>
        <w:trPr>
          <w:trHeight w:val="393" w:hRule="atLeast"/>
        </w:trPr>
        <w:tc>
          <w:tcPr>
            <w:tcW w:w="10890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JUSTIFICATION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REQUEST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MEDICAL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EXCEPTION</w:t>
            </w:r>
          </w:p>
        </w:tc>
      </w:tr>
      <w:tr>
        <w:trPr>
          <w:trHeight w:val="7451" w:hRule="atLeast"/>
        </w:trPr>
        <w:tc>
          <w:tcPr>
            <w:tcW w:w="10890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42" w:lineRule="auto" w:before="0" w:after="0"/>
              <w:ind w:left="110" w:right="129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Alternate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drug(s)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contraindicated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previously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tried,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but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with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adverse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outcome,</w:t>
            </w:r>
            <w:r>
              <w:rPr>
                <w:rFonts w:ascii="Arial" w:hAnsi="Arial"/>
                <w:b/>
                <w:spacing w:val="-16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e.g.</w:t>
            </w:r>
            <w:r>
              <w:rPr>
                <w:rFonts w:ascii="Arial" w:hAnsi="Arial"/>
                <w:b/>
                <w:spacing w:val="-1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toxicity,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allergy, or therapeutic failure.</w:t>
            </w:r>
          </w:p>
          <w:p>
            <w:pPr>
              <w:pStyle w:val="TableParagraph"/>
              <w:spacing w:before="14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746240" cy="9525"/>
                      <wp:effectExtent l="9525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746240" cy="9525"/>
                                <a:chExt cx="674624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450"/>
                                  <a:ext cx="674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6240" h="0">
                                      <a:moveTo>
                                        <a:pt x="0" y="0"/>
                                      </a:moveTo>
                                      <a:lnTo>
                                        <a:pt x="6746129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1.2pt;height:.75pt;mso-position-horizontal-relative:char;mso-position-vertical-relative:line" id="docshapegroup1" coordorigin="0,0" coordsize="10624,15">
                      <v:line style="position:absolute" from="0,7" to="10624,7" stroked="true" strokeweight=".70086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746240" cy="9525"/>
                      <wp:effectExtent l="9525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746240" cy="9525"/>
                                <a:chExt cx="674624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50"/>
                                  <a:ext cx="674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6240" h="0">
                                      <a:moveTo>
                                        <a:pt x="0" y="0"/>
                                      </a:moveTo>
                                      <a:lnTo>
                                        <a:pt x="6746129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1.2pt;height:.75pt;mso-position-horizontal-relative:char;mso-position-vertical-relative:line" id="docshapegroup2" coordorigin="0,0" coordsize="10624,15">
                      <v:line style="position:absolute" from="0,7" to="10624,7" stroked="true" strokeweight=".70086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757670" cy="9525"/>
                      <wp:effectExtent l="9525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757670" cy="9525"/>
                                <a:chExt cx="675767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450"/>
                                  <a:ext cx="6757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7670" h="0">
                                      <a:moveTo>
                                        <a:pt x="0" y="0"/>
                                      </a:moveTo>
                                      <a:lnTo>
                                        <a:pt x="6049155" y="0"/>
                                      </a:lnTo>
                                    </a:path>
                                    <a:path w="6757670" h="0">
                                      <a:moveTo>
                                        <a:pt x="6061532" y="0"/>
                                      </a:moveTo>
                                      <a:lnTo>
                                        <a:pt x="6757405" y="0"/>
                                      </a:lnTo>
                                    </a:path>
                                  </a:pathLst>
                                </a:custGeom>
                                <a:ln w="89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2.1pt;height:.75pt;mso-position-horizontal-relative:char;mso-position-vertical-relative:line" id="docshapegroup3" coordorigin="0,0" coordsize="10642,15">
                      <v:shape style="position:absolute;left:0;top:7;width:10642;height:2" id="docshape4" coordorigin="0,7" coordsize="10642,0" path="m0,7l9526,7m9546,7l10642,7e" filled="false" stroked="true" strokeweight=".700868pt" strokecolor="#00000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4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7" w:val="left" w:leader="none"/>
              </w:tabs>
              <w:spacing w:line="244" w:lineRule="auto" w:before="0" w:after="0"/>
              <w:ind w:left="110" w:right="13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Patient is stable on RELISTOR; high risk of significant adverse clinical outcome with medication</w:t>
            </w:r>
            <w:r>
              <w:rPr>
                <w:rFonts w:ascii="Arial" w:hAnsi="Arial"/>
                <w:b/>
                <w:spacing w:val="80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change.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4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9" w:val="left" w:leader="none"/>
              </w:tabs>
              <w:spacing w:line="261" w:lineRule="auto" w:before="0" w:after="0"/>
              <w:ind w:left="110" w:right="143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RELISTOR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does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not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have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any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pharmacokinetic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drug-drug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interactions–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Only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Peripherally</w:t>
            </w:r>
            <w:r>
              <w:rPr>
                <w:rFonts w:ascii="Arial" w:hAnsi="Arial"/>
                <w:b/>
                <w:spacing w:val="-1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Acting</w:t>
            </w:r>
            <w:r>
              <w:rPr>
                <w:rFonts w:ascii="Arial" w:hAnsi="Arial"/>
                <w:b/>
                <w:spacing w:val="-10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Mu Opioid Receptor Antagonist that is not metabolized through the CYP3A4 pathway.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94" w:val="left" w:leader="none"/>
              </w:tabs>
              <w:spacing w:line="273" w:lineRule="auto" w:before="132" w:after="0"/>
              <w:ind w:left="1094" w:right="887" w:hanging="360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moderate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CYP3A4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inhibitors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diltiazem,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erythromycin, </w:t>
            </w:r>
            <w:r>
              <w:rPr>
                <w:spacing w:val="-2"/>
                <w:w w:val="105"/>
                <w:sz w:val="22"/>
              </w:rPr>
              <w:t>verapamil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60"/>
                <w:sz w:val="22"/>
              </w:rPr>
              <w:t>–</w:t>
            </w:r>
            <w:r>
              <w:rPr>
                <w:spacing w:val="-30"/>
                <w:w w:val="160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common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brand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names: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Cardizem®,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Erythrocin®,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Isoptin®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SR)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94" w:val="left" w:leader="none"/>
              </w:tabs>
              <w:spacing w:line="273" w:lineRule="auto" w:before="0" w:after="0"/>
              <w:ind w:left="1094" w:right="854" w:hanging="360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CYP3A4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inhibitors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ketoconazole,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itraconazole, </w:t>
            </w:r>
            <w:r>
              <w:rPr>
                <w:spacing w:val="-2"/>
                <w:w w:val="105"/>
                <w:sz w:val="22"/>
              </w:rPr>
              <w:t>clarithromycin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50"/>
                <w:sz w:val="22"/>
              </w:rPr>
              <w:t>–</w:t>
            </w:r>
            <w:r>
              <w:rPr>
                <w:spacing w:val="-24"/>
                <w:w w:val="150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common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brand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names:</w:t>
            </w:r>
            <w:r>
              <w:rPr>
                <w:spacing w:val="-8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Nizoral®,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Sporanox®,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Biaxin®)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94" w:val="left" w:leader="none"/>
              </w:tabs>
              <w:spacing w:line="268" w:lineRule="auto" w:before="0" w:after="0"/>
              <w:ind w:left="1094" w:right="1233" w:hanging="360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moderate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CYP3A4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inducers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nafcillin,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bexarotene, </w:t>
            </w:r>
            <w:r>
              <w:rPr>
                <w:spacing w:val="-2"/>
                <w:w w:val="105"/>
                <w:sz w:val="22"/>
              </w:rPr>
              <w:t>dexamethasone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25"/>
                <w:sz w:val="22"/>
              </w:rPr>
              <w:t>–</w:t>
            </w:r>
            <w:r>
              <w:rPr>
                <w:spacing w:val="-16"/>
                <w:w w:val="12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common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brand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names: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Nallpen®,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Targretin®,</w:t>
            </w:r>
            <w:r>
              <w:rPr>
                <w:spacing w:val="-1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Hemady®)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94" w:val="left" w:leader="none"/>
              </w:tabs>
              <w:spacing w:line="273" w:lineRule="auto" w:before="0" w:after="0"/>
              <w:ind w:left="1094" w:right="772" w:hanging="360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CYP3A4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inducers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rifampin,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carbamazepine,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St. </w:t>
            </w:r>
            <w:r>
              <w:rPr>
                <w:spacing w:val="-2"/>
                <w:w w:val="105"/>
                <w:sz w:val="22"/>
              </w:rPr>
              <w:t>John’s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Wort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60"/>
                <w:sz w:val="22"/>
              </w:rPr>
              <w:t>–</w:t>
            </w:r>
            <w:r>
              <w:rPr>
                <w:spacing w:val="-30"/>
                <w:w w:val="160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common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brand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names: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Rifadin®,</w:t>
            </w:r>
            <w:r>
              <w:rPr>
                <w:spacing w:val="-7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Tegretol®)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94" w:val="left" w:leader="none"/>
              </w:tabs>
              <w:spacing w:line="264" w:lineRule="exact" w:before="0" w:after="0"/>
              <w:ind w:left="109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grapefruit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grapefruit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(potential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CYP3A4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inhibitor)</w:t>
            </w:r>
          </w:p>
          <w:p>
            <w:pPr>
              <w:pStyle w:val="TableParagraph"/>
              <w:tabs>
                <w:tab w:pos="10653" w:val="left" w:leader="none"/>
              </w:tabs>
              <w:spacing w:before="199"/>
              <w:ind w:left="66"/>
              <w:rPr>
                <w:rFonts w:ascii="Times New Roman"/>
                <w:sz w:val="22"/>
              </w:rPr>
            </w:pPr>
            <w:r>
              <w:rPr>
                <w:sz w:val="22"/>
              </w:rPr>
              <w:t>Patient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Currently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CYP3A4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Inducer/Inhibitor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Below):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  <w:u w:val="single"/>
              </w:rPr>
              <w:tab/>
            </w:r>
          </w:p>
        </w:tc>
      </w:tr>
      <w:tr>
        <w:trPr>
          <w:trHeight w:val="273" w:hRule="atLeast"/>
        </w:trPr>
        <w:tc>
          <w:tcPr>
            <w:tcW w:w="1063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1063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10" w:hRule="atLeast"/>
        </w:trPr>
        <w:tc>
          <w:tcPr>
            <w:tcW w:w="10890" w:type="dxa"/>
            <w:gridSpan w:val="2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0" w:val="left" w:leader="none"/>
                <w:tab w:pos="353" w:val="left" w:leader="none"/>
              </w:tabs>
              <w:spacing w:line="268" w:lineRule="auto" w:before="212" w:after="0"/>
              <w:ind w:left="110" w:right="316" w:hanging="1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RELISTOR Subcutaneous Injection - </w:t>
            </w:r>
            <w:r>
              <w:rPr>
                <w:rFonts w:ascii="Arial" w:hAnsi="Arial"/>
                <w:b/>
                <w:sz w:val="22"/>
              </w:rPr>
              <w:t>RELISTOR is the only Peripherally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Acting Mu Opioid Receptor Antagonist in subcutaneous injection formulation. RELISTOR subcutaneous injection is the only Peripherally</w:t>
            </w:r>
            <w:r>
              <w:rPr>
                <w:rFonts w:ascii="Arial" w:hAnsi="Arial"/>
                <w:b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Acting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Mu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Opioid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Receptor</w:t>
            </w:r>
            <w:r>
              <w:rPr>
                <w:rFonts w:ascii="Arial" w:hAnsi="Arial"/>
                <w:b/>
                <w:spacing w:val="-1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Antagonist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indicated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adults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with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advanced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illness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or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pain caused by active cancer who require opioid dosage escalation for palliative care.</w:t>
            </w:r>
          </w:p>
          <w:p>
            <w:pPr>
              <w:pStyle w:val="TableParagraph"/>
              <w:spacing w:line="278" w:lineRule="auto" w:before="125"/>
              <w:ind w:left="110" w:right="42" w:hanging="10"/>
              <w:rPr>
                <w:sz w:val="22"/>
              </w:rPr>
            </w:pP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above, 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 agree RELISTOR</w:t>
            </w:r>
            <w:r>
              <w:rPr>
                <w:sz w:val="22"/>
                <w:vertAlign w:val="superscript"/>
              </w:rPr>
              <w:t>®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(methylnaltrexone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bromide)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is an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appropriate choice for my patient. A timely approval would be greatly appreciated by myself and my patient.</w:t>
            </w:r>
          </w:p>
          <w:p>
            <w:pPr>
              <w:pStyle w:val="TableParagraph"/>
              <w:spacing w:line="388" w:lineRule="auto" w:before="114"/>
              <w:ind w:left="110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 &lt;</w:t>
            </w:r>
            <w:r>
              <w:rPr>
                <w:color w:val="2E5395"/>
                <w:sz w:val="22"/>
              </w:rPr>
              <w:t>Insert</w:t>
            </w:r>
            <w:r>
              <w:rPr>
                <w:color w:val="2E5395"/>
                <w:spacing w:val="-2"/>
                <w:sz w:val="22"/>
              </w:rPr>
              <w:t> </w:t>
            </w:r>
            <w:r>
              <w:rPr>
                <w:color w:val="2E5395"/>
                <w:sz w:val="22"/>
              </w:rPr>
              <w:t>phone</w:t>
            </w:r>
            <w:r>
              <w:rPr>
                <w:color w:val="2E5395"/>
                <w:spacing w:val="-1"/>
                <w:sz w:val="22"/>
              </w:rPr>
              <w:t> </w:t>
            </w:r>
            <w:r>
              <w:rPr>
                <w:color w:val="2E5395"/>
                <w:sz w:val="22"/>
              </w:rPr>
              <w:t>number</w:t>
            </w:r>
            <w:r>
              <w:rPr>
                <w:sz w:val="22"/>
              </w:rPr>
              <w:t>&gt;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exception. </w:t>
            </w:r>
            <w:r>
              <w:rPr>
                <w:spacing w:val="-2"/>
                <w:sz w:val="22"/>
              </w:rPr>
              <w:t>Sincerely</w:t>
            </w:r>
          </w:p>
          <w:p>
            <w:pPr>
              <w:pStyle w:val="TableParagraph"/>
              <w:spacing w:before="4"/>
              <w:ind w:left="110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color w:val="2E5395"/>
                <w:sz w:val="22"/>
              </w:rPr>
              <w:t>Insert</w:t>
            </w:r>
            <w:r>
              <w:rPr>
                <w:color w:val="2E5395"/>
                <w:spacing w:val="-4"/>
                <w:sz w:val="22"/>
              </w:rPr>
              <w:t> </w:t>
            </w:r>
            <w:r>
              <w:rPr>
                <w:color w:val="2E5395"/>
                <w:sz w:val="22"/>
              </w:rPr>
              <w:t>Healthcare</w:t>
            </w:r>
            <w:r>
              <w:rPr>
                <w:color w:val="2E5395"/>
                <w:spacing w:val="-6"/>
                <w:sz w:val="22"/>
              </w:rPr>
              <w:t> </w:t>
            </w:r>
            <w:r>
              <w:rPr>
                <w:color w:val="2E5395"/>
                <w:sz w:val="22"/>
              </w:rPr>
              <w:t>Provider</w:t>
            </w:r>
            <w:r>
              <w:rPr>
                <w:color w:val="2E5395"/>
                <w:spacing w:val="-5"/>
                <w:sz w:val="22"/>
              </w:rPr>
              <w:t> </w:t>
            </w:r>
            <w:r>
              <w:rPr>
                <w:color w:val="2E5395"/>
                <w:spacing w:val="-4"/>
                <w:sz w:val="22"/>
              </w:rPr>
              <w:t>Name</w:t>
            </w:r>
            <w:r>
              <w:rPr>
                <w:spacing w:val="-4"/>
                <w:sz w:val="22"/>
              </w:rPr>
              <w:t>&gt;</w:t>
            </w:r>
          </w:p>
          <w:p>
            <w:pPr>
              <w:pStyle w:val="TableParagraph"/>
              <w:spacing w:before="155"/>
              <w:ind w:left="110"/>
              <w:rPr>
                <w:sz w:val="22"/>
              </w:rPr>
            </w:pPr>
            <w:r>
              <w:rPr>
                <w:sz w:val="22"/>
              </w:rPr>
              <w:t>&lt;</w:t>
            </w:r>
            <w:r>
              <w:rPr>
                <w:color w:val="2E5395"/>
                <w:sz w:val="22"/>
              </w:rPr>
              <w:t>Insert </w:t>
            </w:r>
            <w:r>
              <w:rPr>
                <w:color w:val="2E5395"/>
                <w:spacing w:val="-2"/>
                <w:sz w:val="22"/>
              </w:rPr>
              <w:t>Signature</w:t>
            </w:r>
            <w:r>
              <w:rPr>
                <w:spacing w:val="-2"/>
                <w:sz w:val="22"/>
              </w:rPr>
              <w:t>&gt;</w:t>
            </w:r>
          </w:p>
          <w:p>
            <w:pPr>
              <w:pStyle w:val="TableParagraph"/>
              <w:spacing w:line="280" w:lineRule="auto" w:before="145"/>
              <w:ind w:left="14" w:hanging="10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Enclosures: </w:t>
            </w:r>
            <w:r>
              <w:rPr>
                <w:sz w:val="22"/>
              </w:rPr>
              <w:t>Consider including patient medical history, relevant state therapy legislation, notes and product prescribing information which can be found at </w:t>
            </w:r>
            <w:hyperlink r:id="rId5">
              <w:r>
                <w:rPr>
                  <w:color w:val="0462C1"/>
                  <w:sz w:val="22"/>
                  <w:u w:val="single" w:color="0462C1"/>
                </w:rPr>
                <w:t>www.relistorhcp.com</w:t>
              </w:r>
            </w:hyperlink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"/>
              <w:rPr>
                <w:sz w:val="22"/>
              </w:rPr>
            </w:pPr>
          </w:p>
          <w:p>
            <w:pPr>
              <w:pStyle w:val="TableParagraph"/>
              <w:tabs>
                <w:tab w:pos="10828" w:val="left" w:leader="none"/>
              </w:tabs>
              <w:ind w:left="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State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Therapy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Law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Information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(</w:t>
            </w:r>
            <w:hyperlink r:id="rId6">
              <w:r>
                <w:rPr>
                  <w:rFonts w:ascii="Arial"/>
                  <w:b/>
                  <w:spacing w:val="-2"/>
                  <w:sz w:val="22"/>
                </w:rPr>
                <w:t>www.steptherapy.com)</w:t>
              </w:r>
            </w:hyperlink>
            <w:r>
              <w:rPr>
                <w:rFonts w:ascii="Arial"/>
                <w:b/>
                <w:sz w:val="22"/>
                <w:u w:val="single"/>
              </w:rPr>
              <w:tab/>
            </w:r>
          </w:p>
        </w:tc>
      </w:tr>
      <w:tr>
        <w:trPr>
          <w:trHeight w:val="226" w:hRule="atLeast"/>
        </w:trPr>
        <w:tc>
          <w:tcPr>
            <w:tcW w:w="10890" w:type="dxa"/>
            <w:gridSpan w:val="2"/>
            <w:tcBorders>
              <w:top w:val="single" w:sz="6" w:space="0" w:color="000000"/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type w:val="continuous"/>
          <w:pgSz w:w="12240" w:h="15840"/>
          <w:pgMar w:top="820" w:bottom="280" w:left="720" w:right="36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487984</wp:posOffset>
                </wp:positionH>
                <wp:positionV relativeFrom="page">
                  <wp:posOffset>533653</wp:posOffset>
                </wp:positionV>
                <wp:extent cx="6921500" cy="91897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21500" cy="918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9189720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9183065"/>
                              </a:lnTo>
                              <a:lnTo>
                                <a:pt x="6096" y="9183065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6921500" h="9189720">
                              <a:moveTo>
                                <a:pt x="6915277" y="9183078"/>
                              </a:moveTo>
                              <a:lnTo>
                                <a:pt x="6096" y="9183078"/>
                              </a:lnTo>
                              <a:lnTo>
                                <a:pt x="0" y="9183078"/>
                              </a:lnTo>
                              <a:lnTo>
                                <a:pt x="0" y="9189161"/>
                              </a:lnTo>
                              <a:lnTo>
                                <a:pt x="6096" y="9189161"/>
                              </a:lnTo>
                              <a:lnTo>
                                <a:pt x="6915277" y="9189161"/>
                              </a:lnTo>
                              <a:lnTo>
                                <a:pt x="6915277" y="9183078"/>
                              </a:lnTo>
                              <a:close/>
                            </a:path>
                            <a:path w="6921500" h="9189720">
                              <a:moveTo>
                                <a:pt x="69152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915277" y="6096"/>
                              </a:lnTo>
                              <a:lnTo>
                                <a:pt x="6915277" y="0"/>
                              </a:lnTo>
                              <a:close/>
                            </a:path>
                            <a:path w="6921500" h="9189720">
                              <a:moveTo>
                                <a:pt x="6921436" y="9183078"/>
                              </a:moveTo>
                              <a:lnTo>
                                <a:pt x="6915353" y="9183078"/>
                              </a:lnTo>
                              <a:lnTo>
                                <a:pt x="6915353" y="9189161"/>
                              </a:lnTo>
                              <a:lnTo>
                                <a:pt x="6921436" y="9189161"/>
                              </a:lnTo>
                              <a:lnTo>
                                <a:pt x="6921436" y="9183078"/>
                              </a:lnTo>
                              <a:close/>
                            </a:path>
                            <a:path w="6921500" h="9189720">
                              <a:moveTo>
                                <a:pt x="6921436" y="6172"/>
                              </a:moveTo>
                              <a:lnTo>
                                <a:pt x="6915353" y="6172"/>
                              </a:lnTo>
                              <a:lnTo>
                                <a:pt x="6915353" y="9183065"/>
                              </a:lnTo>
                              <a:lnTo>
                                <a:pt x="6921436" y="9183065"/>
                              </a:lnTo>
                              <a:lnTo>
                                <a:pt x="6921436" y="6172"/>
                              </a:lnTo>
                              <a:close/>
                            </a:path>
                            <a:path w="6921500" h="9189720">
                              <a:moveTo>
                                <a:pt x="6921436" y="0"/>
                              </a:moveTo>
                              <a:lnTo>
                                <a:pt x="6915353" y="0"/>
                              </a:lnTo>
                              <a:lnTo>
                                <a:pt x="6915353" y="6096"/>
                              </a:lnTo>
                              <a:lnTo>
                                <a:pt x="6921436" y="6096"/>
                              </a:lnTo>
                              <a:lnTo>
                                <a:pt x="6921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424004pt;margin-top:42.019966pt;width:545pt;height:723.6pt;mso-position-horizontal-relative:page;mso-position-vertical-relative:page;z-index:-15826944" id="docshape5" coordorigin="768,840" coordsize="10900,14472" path="m778,850l768,850,768,15302,778,15302,778,850xm11659,15302l778,15302,768,15302,768,15312,778,15312,11659,15312,11659,15302xm11659,840l778,840,768,840,768,850,778,850,11659,850,11659,840xm11668,15302l11659,15302,11659,15312,11668,15312,11668,15302xm11668,850l11659,850,11659,15302,11668,15302,11668,850xm11668,840l11659,840,11659,850,11668,850,11668,8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7"/>
        </w:rPr>
        <w:t> </w:t>
      </w:r>
      <w:r>
        <w:rPr/>
        <w:t>PRESCRIBERS</w:t>
      </w:r>
      <w:r>
        <w:rPr>
          <w:spacing w:val="-5"/>
        </w:rPr>
        <w:t> </w:t>
      </w:r>
      <w:r>
        <w:rPr/>
        <w:t>BACKGROUND</w:t>
      </w:r>
      <w:r>
        <w:rPr>
          <w:spacing w:val="-8"/>
        </w:rPr>
        <w:t> </w:t>
      </w:r>
      <w:r>
        <w:rPr>
          <w:spacing w:val="-2"/>
        </w:rPr>
        <w:t>INFORMATION:</w:t>
      </w:r>
    </w:p>
    <w:p>
      <w:pPr>
        <w:spacing w:before="140"/>
        <w:ind w:left="5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INDICATIONS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1" w:lineRule="auto" w:before="178" w:after="0"/>
        <w:ind w:left="778" w:right="390" w:hanging="360"/>
        <w:jc w:val="left"/>
        <w:rPr>
          <w:sz w:val="22"/>
        </w:rPr>
      </w:pPr>
      <w:r>
        <w:rPr>
          <w:sz w:val="22"/>
        </w:rPr>
        <w:t>RELISTOR</w:t>
      </w:r>
      <w:r>
        <w:rPr>
          <w:sz w:val="22"/>
          <w:vertAlign w:val="superscript"/>
        </w:rPr>
        <w:t>®</w:t>
      </w:r>
      <w:r>
        <w:rPr>
          <w:sz w:val="22"/>
          <w:vertAlign w:val="baseline"/>
        </w:rPr>
        <w:t> (methylnaltrexone bromide) is an opioid antagonist. RELISTOR tablets and RELISTOR injection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are indicated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treatment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 opioid-induced constipation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(OIC)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 adults with chronic non- cancer pain, including patients with chronic pain related to prior cancer or its treatment who do not require frequent (e.g., weekly) opioid dosage escalation.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4" w:after="0"/>
        <w:ind w:left="778" w:right="668" w:hanging="360"/>
        <w:jc w:val="left"/>
        <w:rPr>
          <w:sz w:val="22"/>
        </w:rPr>
      </w:pPr>
      <w:r>
        <w:rPr>
          <w:sz w:val="22"/>
        </w:rPr>
        <w:t>RELISTOR</w:t>
      </w:r>
      <w:r>
        <w:rPr>
          <w:spacing w:val="-2"/>
          <w:sz w:val="22"/>
        </w:rPr>
        <w:t> </w:t>
      </w:r>
      <w:r>
        <w:rPr>
          <w:sz w:val="22"/>
        </w:rPr>
        <w:t>injection is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4"/>
          <w:sz w:val="22"/>
        </w:rPr>
        <w:t> </w:t>
      </w:r>
      <w:r>
        <w:rPr>
          <w:sz w:val="22"/>
        </w:rPr>
        <w:t>indicated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 treatment</w:t>
      </w:r>
      <w:r>
        <w:rPr>
          <w:spacing w:val="-4"/>
          <w:sz w:val="22"/>
        </w:rPr>
        <w:t> </w:t>
      </w:r>
      <w:r>
        <w:rPr>
          <w:sz w:val="22"/>
        </w:rPr>
        <w:t>of OIC</w:t>
      </w:r>
      <w:r>
        <w:rPr>
          <w:spacing w:val="-2"/>
          <w:sz w:val="22"/>
        </w:rPr>
        <w:t> </w:t>
      </w:r>
      <w:r>
        <w:rPr>
          <w:sz w:val="22"/>
        </w:rPr>
        <w:t>in adults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advanced illness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pain caused by active cancer who require opioid dosage escalation for palliative care.</w:t>
      </w:r>
    </w:p>
    <w:p>
      <w:pPr>
        <w:pStyle w:val="Heading1"/>
        <w:spacing w:before="105"/>
      </w:pPr>
      <w:r>
        <w:rPr/>
        <w:t>IMPORTANT</w:t>
      </w:r>
      <w:r>
        <w:rPr>
          <w:spacing w:val="-5"/>
        </w:rPr>
        <w:t> </w:t>
      </w:r>
      <w:r>
        <w:rPr/>
        <w:t>SAFETY</w:t>
      </w:r>
      <w:r>
        <w:rPr>
          <w:spacing w:val="-9"/>
        </w:rPr>
        <w:t> </w:t>
      </w:r>
      <w:r>
        <w:rPr>
          <w:spacing w:val="-2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79" w:after="0"/>
        <w:ind w:left="778" w:right="533" w:hanging="360"/>
        <w:jc w:val="left"/>
        <w:rPr>
          <w:sz w:val="22"/>
        </w:rPr>
      </w:pPr>
      <w:r>
        <w:rPr>
          <w:sz w:val="22"/>
        </w:rPr>
        <w:t>RELISTOR tablets and injection are contraindicated in patients with known or suspected mechanical gastrointestinal</w:t>
      </w:r>
      <w:r>
        <w:rPr>
          <w:spacing w:val="-5"/>
          <w:sz w:val="22"/>
        </w:rPr>
        <w:t> </w:t>
      </w:r>
      <w:r>
        <w:rPr>
          <w:sz w:val="22"/>
        </w:rPr>
        <w:t>obstruction</w:t>
      </w:r>
      <w:r>
        <w:rPr>
          <w:spacing w:val="-4"/>
          <w:sz w:val="22"/>
        </w:rPr>
        <w:t> </w:t>
      </w:r>
      <w:r>
        <w:rPr>
          <w:sz w:val="22"/>
        </w:rPr>
        <w:t>and patients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increased risk</w:t>
      </w:r>
      <w:r>
        <w:rPr>
          <w:spacing w:val="-4"/>
          <w:sz w:val="22"/>
        </w:rPr>
        <w:t> </w:t>
      </w:r>
      <w:r>
        <w:rPr>
          <w:sz w:val="22"/>
        </w:rPr>
        <w:t>of recurrent</w:t>
      </w:r>
      <w:r>
        <w:rPr>
          <w:spacing w:val="-4"/>
          <w:sz w:val="22"/>
        </w:rPr>
        <w:t> </w:t>
      </w:r>
      <w:r>
        <w:rPr>
          <w:sz w:val="22"/>
        </w:rPr>
        <w:t>obstruction,</w:t>
      </w:r>
      <w:r>
        <w:rPr>
          <w:spacing w:val="-4"/>
          <w:sz w:val="22"/>
        </w:rPr>
        <w:t> </w:t>
      </w:r>
      <w:r>
        <w:rPr>
          <w:sz w:val="22"/>
        </w:rPr>
        <w:t>due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potential for gastrointestinal perforation.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47" w:after="0"/>
        <w:ind w:left="778" w:right="236" w:hanging="360"/>
        <w:jc w:val="left"/>
        <w:rPr>
          <w:sz w:val="22"/>
        </w:rPr>
      </w:pPr>
      <w:r>
        <w:rPr>
          <w:sz w:val="22"/>
        </w:rPr>
        <w:t>Cases of gastrointestinal perforation have been reported in adult patients with opioid-induced constipation and advanced illness with conditions that may be associated with localized or diffuse reduction</w:t>
      </w:r>
      <w:r>
        <w:rPr>
          <w:spacing w:val="-4"/>
          <w:sz w:val="22"/>
        </w:rPr>
        <w:t> </w:t>
      </w:r>
      <w:r>
        <w:rPr>
          <w:sz w:val="22"/>
        </w:rPr>
        <w:t>of structural</w:t>
      </w:r>
      <w:r>
        <w:rPr>
          <w:spacing w:val="-2"/>
          <w:sz w:val="22"/>
        </w:rPr>
        <w:t> </w:t>
      </w:r>
      <w:r>
        <w:rPr>
          <w:sz w:val="22"/>
        </w:rPr>
        <w:t>integrity</w:t>
      </w:r>
      <w:r>
        <w:rPr>
          <w:spacing w:val="-1"/>
          <w:sz w:val="22"/>
        </w:rPr>
        <w:t> </w:t>
      </w:r>
      <w:r>
        <w:rPr>
          <w:sz w:val="22"/>
        </w:rPr>
        <w:t>in the</w:t>
      </w:r>
      <w:r>
        <w:rPr>
          <w:spacing w:val="-4"/>
          <w:sz w:val="22"/>
        </w:rPr>
        <w:t> </w:t>
      </w:r>
      <w:r>
        <w:rPr>
          <w:sz w:val="22"/>
        </w:rPr>
        <w:t>wall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gastrointestinal</w:t>
      </w:r>
      <w:r>
        <w:rPr>
          <w:spacing w:val="-2"/>
          <w:sz w:val="22"/>
        </w:rPr>
        <w:t> </w:t>
      </w:r>
      <w:r>
        <w:rPr>
          <w:sz w:val="22"/>
        </w:rPr>
        <w:t>tract (e.g.,</w:t>
      </w:r>
      <w:r>
        <w:rPr>
          <w:spacing w:val="-4"/>
          <w:sz w:val="22"/>
        </w:rPr>
        <w:t> </w:t>
      </w:r>
      <w:r>
        <w:rPr>
          <w:sz w:val="22"/>
        </w:rPr>
        <w:t>peptic</w:t>
      </w:r>
      <w:r>
        <w:rPr>
          <w:spacing w:val="-1"/>
          <w:sz w:val="22"/>
        </w:rPr>
        <w:t> </w:t>
      </w:r>
      <w:r>
        <w:rPr>
          <w:sz w:val="22"/>
        </w:rPr>
        <w:t>ulcer</w:t>
      </w:r>
      <w:r>
        <w:rPr>
          <w:spacing w:val="-2"/>
          <w:sz w:val="22"/>
        </w:rPr>
        <w:t> </w:t>
      </w:r>
      <w:r>
        <w:rPr>
          <w:sz w:val="22"/>
        </w:rPr>
        <w:t>disease,</w:t>
      </w:r>
      <w:r>
        <w:rPr>
          <w:spacing w:val="-4"/>
          <w:sz w:val="22"/>
        </w:rPr>
        <w:t> </w:t>
      </w:r>
      <w:r>
        <w:rPr>
          <w:sz w:val="22"/>
        </w:rPr>
        <w:t>Ogilvie’s syndrome, diverticular disease, infiltrative gastrointestinal tract malignancies or peritoneal metastases). Take into account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overall risk-benefit</w:t>
      </w:r>
      <w:r>
        <w:rPr>
          <w:spacing w:val="-1"/>
          <w:sz w:val="22"/>
        </w:rPr>
        <w:t> </w:t>
      </w:r>
      <w:r>
        <w:rPr>
          <w:sz w:val="22"/>
        </w:rPr>
        <w:t>profile when using</w:t>
      </w:r>
      <w:r>
        <w:rPr>
          <w:spacing w:val="-1"/>
          <w:sz w:val="22"/>
        </w:rPr>
        <w:t> </w:t>
      </w:r>
      <w:r>
        <w:rPr>
          <w:sz w:val="22"/>
        </w:rPr>
        <w:t>RELISTOR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patients with</w:t>
      </w:r>
      <w:r>
        <w:rPr>
          <w:spacing w:val="-1"/>
          <w:sz w:val="22"/>
        </w:rPr>
        <w:t> </w:t>
      </w:r>
      <w:r>
        <w:rPr>
          <w:sz w:val="22"/>
        </w:rPr>
        <w:t>these conditions or other conditions which might result in impaired integrity of the gastrointestinal tract wall (e.g., Crohn’s disease). Monitor for the development of severe, persistent, or worsening abdominal pain; discontinue RELISTOR in patients who develop this symptom.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46" w:after="0"/>
        <w:ind w:left="778" w:right="779" w:hanging="360"/>
        <w:jc w:val="left"/>
        <w:rPr>
          <w:sz w:val="22"/>
        </w:rPr>
      </w:pPr>
      <w:r>
        <w:rPr>
          <w:sz w:val="22"/>
        </w:rPr>
        <w:t>If severe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persistent</w:t>
      </w:r>
      <w:r>
        <w:rPr>
          <w:spacing w:val="-4"/>
          <w:sz w:val="22"/>
        </w:rPr>
        <w:t> </w:t>
      </w:r>
      <w:r>
        <w:rPr>
          <w:sz w:val="22"/>
        </w:rPr>
        <w:t>diarrhea occurs</w:t>
      </w:r>
      <w:r>
        <w:rPr>
          <w:spacing w:val="-5"/>
          <w:sz w:val="22"/>
        </w:rPr>
        <w:t> </w:t>
      </w:r>
      <w:r>
        <w:rPr>
          <w:sz w:val="22"/>
        </w:rPr>
        <w:t>during treatment,</w:t>
      </w:r>
      <w:r>
        <w:rPr>
          <w:spacing w:val="-4"/>
          <w:sz w:val="22"/>
        </w:rPr>
        <w:t> </w:t>
      </w:r>
      <w:r>
        <w:rPr>
          <w:sz w:val="22"/>
        </w:rPr>
        <w:t>advise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discontinue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  <w:r>
        <w:rPr>
          <w:spacing w:val="-1"/>
          <w:sz w:val="22"/>
        </w:rPr>
        <w:t> </w:t>
      </w:r>
      <w:r>
        <w:rPr>
          <w:sz w:val="22"/>
        </w:rPr>
        <w:t>with RELISTOR and consult their healthcare provider.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1" w:lineRule="auto" w:before="148" w:after="0"/>
        <w:ind w:left="778" w:right="463" w:hanging="360"/>
        <w:jc w:val="left"/>
        <w:rPr>
          <w:sz w:val="22"/>
        </w:rPr>
      </w:pPr>
      <w:r>
        <w:rPr>
          <w:sz w:val="22"/>
        </w:rPr>
        <w:t>Symptoms consistent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opioid withdrawal,</w:t>
      </w:r>
      <w:r>
        <w:rPr>
          <w:spacing w:val="-1"/>
          <w:sz w:val="22"/>
        </w:rPr>
        <w:t> </w:t>
      </w:r>
      <w:r>
        <w:rPr>
          <w:sz w:val="22"/>
        </w:rPr>
        <w:t>including</w:t>
      </w:r>
      <w:r>
        <w:rPr>
          <w:spacing w:val="-1"/>
          <w:sz w:val="22"/>
        </w:rPr>
        <w:t> </w:t>
      </w:r>
      <w:r>
        <w:rPr>
          <w:sz w:val="22"/>
        </w:rPr>
        <w:t>hyperhidrosis,</w:t>
      </w:r>
      <w:r>
        <w:rPr>
          <w:spacing w:val="-1"/>
          <w:sz w:val="22"/>
        </w:rPr>
        <w:t> </w:t>
      </w:r>
      <w:r>
        <w:rPr>
          <w:sz w:val="22"/>
        </w:rPr>
        <w:t>chills,</w:t>
      </w:r>
      <w:r>
        <w:rPr>
          <w:spacing w:val="-1"/>
          <w:sz w:val="22"/>
        </w:rPr>
        <w:t> </w:t>
      </w:r>
      <w:r>
        <w:rPr>
          <w:sz w:val="22"/>
        </w:rPr>
        <w:t>diarrhea,</w:t>
      </w:r>
      <w:r>
        <w:rPr>
          <w:spacing w:val="-1"/>
          <w:sz w:val="22"/>
        </w:rPr>
        <w:t> </w:t>
      </w:r>
      <w:r>
        <w:rPr>
          <w:sz w:val="22"/>
        </w:rPr>
        <w:t>abdominal pain, anxiety,</w:t>
      </w:r>
      <w:r>
        <w:rPr>
          <w:spacing w:val="-4"/>
          <w:sz w:val="22"/>
        </w:rPr>
        <w:t> </w:t>
      </w:r>
      <w:r>
        <w:rPr>
          <w:sz w:val="22"/>
        </w:rPr>
        <w:t>and yawning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occurred in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treated with RELISTOR.</w:t>
      </w:r>
      <w:r>
        <w:rPr>
          <w:spacing w:val="-5"/>
          <w:sz w:val="22"/>
        </w:rPr>
        <w:t> </w:t>
      </w:r>
      <w:r>
        <w:rPr>
          <w:sz w:val="22"/>
        </w:rPr>
        <w:t>Patients</w:t>
      </w:r>
      <w:r>
        <w:rPr>
          <w:spacing w:val="-1"/>
          <w:sz w:val="22"/>
        </w:rPr>
        <w:t> </w:t>
      </w:r>
      <w:r>
        <w:rPr>
          <w:sz w:val="22"/>
        </w:rPr>
        <w:t>having</w:t>
      </w:r>
      <w:r>
        <w:rPr>
          <w:spacing w:val="-4"/>
          <w:sz w:val="22"/>
        </w:rPr>
        <w:t> </w:t>
      </w:r>
      <w:r>
        <w:rPr>
          <w:sz w:val="22"/>
        </w:rPr>
        <w:t>disruptions</w:t>
      </w:r>
      <w:r>
        <w:rPr>
          <w:spacing w:val="-5"/>
          <w:sz w:val="22"/>
        </w:rPr>
        <w:t> </w:t>
      </w:r>
      <w:r>
        <w:rPr>
          <w:sz w:val="22"/>
        </w:rPr>
        <w:t>to the blood-brain barrier may be at increased risk for opioid withdrawal and/or reduced analgesia and should be monitored for adequacy of analgesia and symptoms of opioid withdrawal.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52" w:after="0"/>
        <w:ind w:left="778" w:right="386" w:hanging="360"/>
        <w:jc w:val="left"/>
        <w:rPr>
          <w:sz w:val="22"/>
        </w:rPr>
      </w:pPr>
      <w:r>
        <w:rPr>
          <w:sz w:val="22"/>
        </w:rPr>
        <w:t>Avoid</w:t>
      </w:r>
      <w:r>
        <w:rPr>
          <w:spacing w:val="-4"/>
          <w:sz w:val="22"/>
        </w:rPr>
        <w:t> </w:t>
      </w:r>
      <w:r>
        <w:rPr>
          <w:sz w:val="22"/>
        </w:rPr>
        <w:t>concomitant use</w:t>
      </w:r>
      <w:r>
        <w:rPr>
          <w:spacing w:val="-4"/>
          <w:sz w:val="22"/>
        </w:rPr>
        <w:t> </w:t>
      </w:r>
      <w:r>
        <w:rPr>
          <w:sz w:val="22"/>
        </w:rPr>
        <w:t>of RELISTOR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opioid</w:t>
      </w:r>
      <w:r>
        <w:rPr>
          <w:spacing w:val="-4"/>
          <w:sz w:val="22"/>
        </w:rPr>
        <w:t> </w:t>
      </w:r>
      <w:r>
        <w:rPr>
          <w:sz w:val="22"/>
        </w:rPr>
        <w:t>antagonists</w:t>
      </w:r>
      <w:r>
        <w:rPr>
          <w:spacing w:val="-5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of the potential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additive effects of opioid receptor antagonism and increased risk of opioid withdrawal.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48" w:after="0"/>
        <w:ind w:left="778" w:right="472" w:hanging="360"/>
        <w:jc w:val="left"/>
        <w:rPr>
          <w:sz w:val="22"/>
        </w:rPr>
      </w:pPr>
      <w:r>
        <w:rPr>
          <w:sz w:val="22"/>
        </w:rPr>
        <w:t>The use of RELISTOR during pregnancy may precipitate opioid withdrawal in a fetus due to the immature fetal blood-brain barrier and should be used during pregnancy only if the potential benefit justifies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potential</w:t>
      </w:r>
      <w:r>
        <w:rPr>
          <w:spacing w:val="-1"/>
          <w:sz w:val="22"/>
        </w:rPr>
        <w:t> </w:t>
      </w:r>
      <w:r>
        <w:rPr>
          <w:sz w:val="22"/>
        </w:rPr>
        <w:t>risk to the</w:t>
      </w:r>
      <w:r>
        <w:rPr>
          <w:spacing w:val="-6"/>
          <w:sz w:val="22"/>
        </w:rPr>
        <w:t> </w:t>
      </w:r>
      <w:r>
        <w:rPr>
          <w:sz w:val="22"/>
        </w:rPr>
        <w:t>fetus. Because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potential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serious</w:t>
      </w:r>
      <w:r>
        <w:rPr>
          <w:spacing w:val="-5"/>
          <w:sz w:val="22"/>
        </w:rPr>
        <w:t> </w:t>
      </w:r>
      <w:r>
        <w:rPr>
          <w:sz w:val="22"/>
        </w:rPr>
        <w:t>adverse reactions, including opioid withdrawal, in breastfed infants, advise women that breastfeeding is not recommended during treatment with RELISTOR. In nursing mothers, a decision should be made to discontinue nursing or discontinue the drug, taking into account the importance of the drug to the mother.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46" w:after="0"/>
        <w:ind w:left="778" w:right="571" w:hanging="360"/>
        <w:jc w:val="left"/>
        <w:rPr>
          <w:sz w:val="22"/>
        </w:rPr>
      </w:pPr>
      <w:r>
        <w:rPr>
          <w:sz w:val="22"/>
        </w:rPr>
        <w:t>A dosage reduction of RELISTOR tablets and RELISTOR injection is recommended in patients with moderate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severe renal</w:t>
      </w:r>
      <w:r>
        <w:rPr>
          <w:spacing w:val="-6"/>
          <w:sz w:val="22"/>
        </w:rPr>
        <w:t> </w:t>
      </w:r>
      <w:r>
        <w:rPr>
          <w:sz w:val="22"/>
        </w:rPr>
        <w:t>impairment (creatinine</w:t>
      </w:r>
      <w:r>
        <w:rPr>
          <w:spacing w:val="-4"/>
          <w:sz w:val="22"/>
        </w:rPr>
        <w:t> </w:t>
      </w:r>
      <w:r>
        <w:rPr>
          <w:sz w:val="22"/>
        </w:rPr>
        <w:t>clearance less</w:t>
      </w:r>
      <w:r>
        <w:rPr>
          <w:spacing w:val="-6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60 mL/minute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estimated by Cockcroft-Gault). No dosage adjustment of RELISTOR tablets or RELISTOR injection is needed in patients with mild renal impairment.</w:t>
      </w:r>
    </w:p>
    <w:p>
      <w:pPr>
        <w:pStyle w:val="ListParagraph"/>
        <w:spacing w:after="0" w:line="333" w:lineRule="auto"/>
        <w:jc w:val="left"/>
        <w:rPr>
          <w:sz w:val="22"/>
        </w:rPr>
        <w:sectPr>
          <w:pgSz w:w="12240" w:h="15840"/>
          <w:pgMar w:top="820" w:bottom="280" w:left="720" w:right="360"/>
        </w:sectPr>
      </w:pP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04" w:after="0"/>
        <w:ind w:left="778" w:right="336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487984</wp:posOffset>
                </wp:positionH>
                <wp:positionV relativeFrom="paragraph">
                  <wp:posOffset>253</wp:posOffset>
                </wp:positionV>
                <wp:extent cx="6921500" cy="46437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1500" cy="4643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4643755">
                              <a:moveTo>
                                <a:pt x="69152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37278"/>
                              </a:lnTo>
                              <a:lnTo>
                                <a:pt x="0" y="4643374"/>
                              </a:lnTo>
                              <a:lnTo>
                                <a:pt x="6096" y="4643374"/>
                              </a:lnTo>
                              <a:lnTo>
                                <a:pt x="6915277" y="4643374"/>
                              </a:lnTo>
                              <a:lnTo>
                                <a:pt x="6915277" y="4637278"/>
                              </a:lnTo>
                              <a:lnTo>
                                <a:pt x="6096" y="4637278"/>
                              </a:lnTo>
                              <a:lnTo>
                                <a:pt x="6096" y="6096"/>
                              </a:lnTo>
                              <a:lnTo>
                                <a:pt x="6915277" y="6096"/>
                              </a:lnTo>
                              <a:lnTo>
                                <a:pt x="6915277" y="0"/>
                              </a:lnTo>
                              <a:close/>
                            </a:path>
                            <a:path w="6921500" h="4643755">
                              <a:moveTo>
                                <a:pt x="6921436" y="0"/>
                              </a:moveTo>
                              <a:lnTo>
                                <a:pt x="6915353" y="0"/>
                              </a:lnTo>
                              <a:lnTo>
                                <a:pt x="6915353" y="6096"/>
                              </a:lnTo>
                              <a:lnTo>
                                <a:pt x="6915353" y="4637278"/>
                              </a:lnTo>
                              <a:lnTo>
                                <a:pt x="6915353" y="4643374"/>
                              </a:lnTo>
                              <a:lnTo>
                                <a:pt x="6921436" y="4643374"/>
                              </a:lnTo>
                              <a:lnTo>
                                <a:pt x="6921436" y="4637278"/>
                              </a:lnTo>
                              <a:lnTo>
                                <a:pt x="6921436" y="6096"/>
                              </a:lnTo>
                              <a:lnTo>
                                <a:pt x="69214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424004pt;margin-top:.019964pt;width:545pt;height:365.65pt;mso-position-horizontal-relative:page;mso-position-vertical-relative:paragraph;z-index:-15826432" id="docshape6" coordorigin="768,0" coordsize="10900,7313" path="m11659,0l778,0,768,0,768,10,768,7303,768,7313,778,7313,11659,7313,11659,7303,778,7303,778,10,11659,10,11659,0xm11668,0l11659,0,11659,10,11659,7303,11659,7313,11668,7313,11668,7303,11668,10,11668,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w:t>A dosage</w:t>
      </w:r>
      <w:r>
        <w:rPr>
          <w:spacing w:val="-4"/>
          <w:sz w:val="22"/>
        </w:rPr>
        <w:t> </w:t>
      </w:r>
      <w:r>
        <w:rPr>
          <w:sz w:val="22"/>
        </w:rPr>
        <w:t>reduction</w:t>
      </w:r>
      <w:r>
        <w:rPr>
          <w:spacing w:val="-4"/>
          <w:sz w:val="22"/>
        </w:rPr>
        <w:t> </w:t>
      </w:r>
      <w:r>
        <w:rPr>
          <w:sz w:val="22"/>
        </w:rPr>
        <w:t>of RELISTOR</w:t>
      </w:r>
      <w:r>
        <w:rPr>
          <w:spacing w:val="-5"/>
          <w:sz w:val="22"/>
        </w:rPr>
        <w:t> </w:t>
      </w:r>
      <w:r>
        <w:rPr>
          <w:sz w:val="22"/>
        </w:rPr>
        <w:t>tablets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recommended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1"/>
          <w:sz w:val="22"/>
        </w:rPr>
        <w:t> </w:t>
      </w:r>
      <w:r>
        <w:rPr>
          <w:sz w:val="22"/>
        </w:rPr>
        <w:t>with moderate (Child-Pugh</w:t>
      </w:r>
      <w:r>
        <w:rPr>
          <w:spacing w:val="-4"/>
          <w:sz w:val="22"/>
        </w:rPr>
        <w:t> </w:t>
      </w:r>
      <w:r>
        <w:rPr>
          <w:sz w:val="22"/>
        </w:rPr>
        <w:t>Class B) or severe (Child-Pugh Class C) hepatic impairment. No dosage adjustment of RELISTOR tablets is needed in patients with mild hepatic impairment (Child-Pugh Class A). No dosage adjustment of RELISTOR injection is needed for patients with mild or moderate hepatic impairment. In patients with severe</w:t>
      </w:r>
      <w:r>
        <w:rPr>
          <w:spacing w:val="-2"/>
          <w:sz w:val="22"/>
        </w:rPr>
        <w:t> </w:t>
      </w:r>
      <w:r>
        <w:rPr>
          <w:sz w:val="22"/>
        </w:rPr>
        <w:t>hepatic impairment, monitor</w:t>
      </w:r>
      <w:r>
        <w:rPr>
          <w:spacing w:val="-5"/>
          <w:sz w:val="22"/>
        </w:rPr>
        <w:t> </w:t>
      </w:r>
      <w:r>
        <w:rPr>
          <w:sz w:val="22"/>
        </w:rPr>
        <w:t>for methylnaltrexone-related</w:t>
      </w:r>
      <w:r>
        <w:rPr>
          <w:spacing w:val="-2"/>
          <w:sz w:val="22"/>
        </w:rPr>
        <w:t> </w:t>
      </w:r>
      <w:r>
        <w:rPr>
          <w:sz w:val="22"/>
        </w:rPr>
        <w:t>adverse reactions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dose</w:t>
      </w:r>
      <w:r>
        <w:rPr>
          <w:spacing w:val="-2"/>
          <w:sz w:val="22"/>
        </w:rPr>
        <w:t> </w:t>
      </w:r>
      <w:r>
        <w:rPr>
          <w:sz w:val="22"/>
        </w:rPr>
        <w:t>adjust</w:t>
      </w:r>
      <w:r>
        <w:rPr>
          <w:spacing w:val="-2"/>
          <w:sz w:val="22"/>
        </w:rPr>
        <w:t> </w:t>
      </w:r>
      <w:r>
        <w:rPr>
          <w:sz w:val="22"/>
        </w:rPr>
        <w:t>per Prescribing Information as may be indicated.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40" w:lineRule="auto" w:before="147" w:after="0"/>
        <w:ind w:left="777" w:right="0" w:hanging="359"/>
        <w:jc w:val="left"/>
        <w:rPr>
          <w:sz w:val="22"/>
        </w:rPr>
      </w:pP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clinical</w:t>
      </w:r>
      <w:r>
        <w:rPr>
          <w:spacing w:val="-5"/>
          <w:sz w:val="22"/>
        </w:rPr>
        <w:t> </w:t>
      </w:r>
      <w:r>
        <w:rPr>
          <w:sz w:val="22"/>
        </w:rPr>
        <w:t>studies,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most</w:t>
      </w:r>
      <w:r>
        <w:rPr>
          <w:spacing w:val="-3"/>
          <w:sz w:val="22"/>
        </w:rPr>
        <w:t> </w:t>
      </w:r>
      <w:r>
        <w:rPr>
          <w:sz w:val="22"/>
        </w:rPr>
        <w:t>common</w:t>
      </w:r>
      <w:r>
        <w:rPr>
          <w:spacing w:val="-3"/>
          <w:sz w:val="22"/>
        </w:rPr>
        <w:t> </w:t>
      </w:r>
      <w:r>
        <w:rPr>
          <w:sz w:val="22"/>
        </w:rPr>
        <w:t>adverse</w:t>
      </w:r>
      <w:r>
        <w:rPr>
          <w:spacing w:val="-2"/>
          <w:sz w:val="22"/>
        </w:rPr>
        <w:t> </w:t>
      </w:r>
      <w:r>
        <w:rPr>
          <w:sz w:val="22"/>
        </w:rPr>
        <w:t>reactions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were:</w:t>
      </w:r>
    </w:p>
    <w:p>
      <w:pPr>
        <w:pStyle w:val="BodyText"/>
        <w:spacing w:before="245"/>
        <w:ind w:left="58"/>
      </w:pPr>
      <w:r>
        <w:rPr/>
        <w:t>OIC</w:t>
      </w:r>
      <w:r>
        <w:rPr>
          <w:spacing w:val="-4"/>
        </w:rPr>
        <w:t> </w:t>
      </w:r>
      <w:r>
        <w:rPr/>
        <w:t>in adult</w:t>
      </w:r>
      <w:r>
        <w:rPr>
          <w:spacing w:val="-5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 chronic</w:t>
      </w:r>
      <w:r>
        <w:rPr>
          <w:spacing w:val="-6"/>
        </w:rPr>
        <w:t> </w:t>
      </w:r>
      <w:r>
        <w:rPr/>
        <w:t>non-cancer</w:t>
      </w:r>
      <w:r>
        <w:rPr>
          <w:spacing w:val="-8"/>
        </w:rPr>
        <w:t> </w:t>
      </w:r>
      <w:r>
        <w:rPr>
          <w:spacing w:val="-4"/>
        </w:rPr>
        <w:t>pain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84" w:after="0"/>
        <w:ind w:left="778" w:right="571" w:hanging="360"/>
        <w:jc w:val="left"/>
        <w:rPr>
          <w:sz w:val="22"/>
        </w:rPr>
      </w:pPr>
      <w:r>
        <w:rPr>
          <w:sz w:val="22"/>
        </w:rPr>
        <w:t>RELISTOR</w:t>
      </w:r>
      <w:r>
        <w:rPr>
          <w:spacing w:val="-2"/>
          <w:sz w:val="22"/>
        </w:rPr>
        <w:t> </w:t>
      </w:r>
      <w:r>
        <w:rPr>
          <w:sz w:val="22"/>
        </w:rPr>
        <w:t>tablets</w:t>
      </w:r>
      <w:r>
        <w:rPr>
          <w:spacing w:val="-1"/>
          <w:sz w:val="22"/>
        </w:rPr>
        <w:t> </w:t>
      </w:r>
      <w:r>
        <w:rPr>
          <w:sz w:val="22"/>
        </w:rPr>
        <w:t>(≥</w:t>
      </w:r>
      <w:r>
        <w:rPr>
          <w:spacing w:val="-4"/>
          <w:sz w:val="22"/>
        </w:rPr>
        <w:t> </w:t>
      </w:r>
      <w:r>
        <w:rPr>
          <w:sz w:val="22"/>
        </w:rPr>
        <w:t>2%</w:t>
      </w:r>
      <w:r>
        <w:rPr>
          <w:spacing w:val="-5"/>
          <w:sz w:val="22"/>
        </w:rPr>
        <w:t> </w:t>
      </w:r>
      <w:r>
        <w:rPr>
          <w:sz w:val="22"/>
        </w:rPr>
        <w:t>of RELISTOR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incidence than placebo):</w:t>
      </w:r>
      <w:r>
        <w:rPr>
          <w:spacing w:val="-4"/>
          <w:sz w:val="22"/>
        </w:rPr>
        <w:t> </w:t>
      </w:r>
      <w:r>
        <w:rPr>
          <w:sz w:val="22"/>
        </w:rPr>
        <w:t>abdominal pain (14%), diarrhea (5%), headache (4%), abdominal distention (4%), vomiting (3%), hyperhidrosis</w:t>
      </w:r>
    </w:p>
    <w:p>
      <w:pPr>
        <w:pStyle w:val="BodyText"/>
        <w:spacing w:line="248" w:lineRule="exact"/>
      </w:pPr>
      <w:r>
        <w:rPr/>
        <w:t>(3%),</w:t>
      </w:r>
      <w:r>
        <w:rPr>
          <w:spacing w:val="-3"/>
        </w:rPr>
        <w:t> </w:t>
      </w:r>
      <w:r>
        <w:rPr/>
        <w:t>anxiety</w:t>
      </w:r>
      <w:r>
        <w:rPr>
          <w:spacing w:val="-4"/>
        </w:rPr>
        <w:t> </w:t>
      </w:r>
      <w:r>
        <w:rPr/>
        <w:t>(2%),</w:t>
      </w:r>
      <w:r>
        <w:rPr>
          <w:spacing w:val="-7"/>
        </w:rPr>
        <w:t> </w:t>
      </w:r>
      <w:r>
        <w:rPr/>
        <w:t>muscle</w:t>
      </w:r>
      <w:r>
        <w:rPr>
          <w:spacing w:val="-6"/>
        </w:rPr>
        <w:t> </w:t>
      </w:r>
      <w:r>
        <w:rPr/>
        <w:t>spasms</w:t>
      </w:r>
      <w:r>
        <w:rPr>
          <w:spacing w:val="-4"/>
        </w:rPr>
        <w:t> </w:t>
      </w:r>
      <w:r>
        <w:rPr/>
        <w:t>(2%),</w:t>
      </w:r>
      <w:r>
        <w:rPr>
          <w:spacing w:val="-3"/>
        </w:rPr>
        <w:t> </w:t>
      </w:r>
      <w:r>
        <w:rPr/>
        <w:t>rhinorrhea</w:t>
      </w:r>
      <w:r>
        <w:rPr>
          <w:spacing w:val="-2"/>
        </w:rPr>
        <w:t> </w:t>
      </w:r>
      <w:r>
        <w:rPr/>
        <w:t>(2%),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chills</w:t>
      </w:r>
      <w:r>
        <w:rPr>
          <w:spacing w:val="-4"/>
        </w:rPr>
        <w:t> </w:t>
      </w:r>
      <w:r>
        <w:rPr>
          <w:spacing w:val="-2"/>
        </w:rPr>
        <w:t>(2%).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245" w:after="0"/>
        <w:ind w:left="778" w:right="410" w:hanging="360"/>
        <w:jc w:val="left"/>
        <w:rPr>
          <w:sz w:val="22"/>
        </w:rPr>
      </w:pPr>
      <w:r>
        <w:rPr>
          <w:sz w:val="22"/>
        </w:rPr>
        <w:t>RELISTOR</w:t>
      </w:r>
      <w:r>
        <w:rPr>
          <w:spacing w:val="-2"/>
          <w:sz w:val="22"/>
        </w:rPr>
        <w:t> </w:t>
      </w:r>
      <w:r>
        <w:rPr>
          <w:sz w:val="22"/>
        </w:rPr>
        <w:t>injection (≥</w:t>
      </w:r>
      <w:r>
        <w:rPr>
          <w:spacing w:val="-7"/>
          <w:sz w:val="22"/>
        </w:rPr>
        <w:t> </w:t>
      </w:r>
      <w:r>
        <w:rPr>
          <w:sz w:val="22"/>
        </w:rPr>
        <w:t>1%</w:t>
      </w:r>
      <w:r>
        <w:rPr>
          <w:spacing w:val="-5"/>
          <w:sz w:val="22"/>
        </w:rPr>
        <w:t> </w:t>
      </w:r>
      <w:r>
        <w:rPr>
          <w:sz w:val="22"/>
        </w:rPr>
        <w:t>of RELISTOR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5"/>
          <w:sz w:val="22"/>
        </w:rPr>
        <w:t> </w:t>
      </w:r>
      <w:r>
        <w:rPr>
          <w:sz w:val="22"/>
        </w:rPr>
        <w:t>and at a</w:t>
      </w:r>
      <w:r>
        <w:rPr>
          <w:spacing w:val="-4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incidence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placebo):</w:t>
      </w:r>
      <w:r>
        <w:rPr>
          <w:spacing w:val="-4"/>
          <w:sz w:val="22"/>
        </w:rPr>
        <w:t> </w:t>
      </w:r>
      <w:r>
        <w:rPr>
          <w:sz w:val="22"/>
        </w:rPr>
        <w:t>abdominal pain (21%), nausea (9%), diarrhea (6%), hyperhidrosis (6%), hot flush (3%), tremor (1%), and chills</w:t>
      </w:r>
    </w:p>
    <w:p>
      <w:pPr>
        <w:pStyle w:val="BodyText"/>
        <w:spacing w:line="249" w:lineRule="exact"/>
      </w:pPr>
      <w:r>
        <w:rPr>
          <w:spacing w:val="-2"/>
        </w:rPr>
        <w:t>(1%).</w:t>
      </w:r>
    </w:p>
    <w:p>
      <w:pPr>
        <w:pStyle w:val="BodyText"/>
        <w:spacing w:before="245"/>
        <w:ind w:left="58"/>
      </w:pPr>
      <w:r>
        <w:rPr/>
        <w:t>OIC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adult</w:t>
      </w:r>
      <w:r>
        <w:rPr>
          <w:spacing w:val="-6"/>
        </w:rPr>
        <w:t> </w:t>
      </w:r>
      <w:r>
        <w:rPr/>
        <w:t>patients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advanced</w:t>
      </w:r>
      <w:r>
        <w:rPr>
          <w:spacing w:val="-2"/>
        </w:rPr>
        <w:t> illness</w:t>
      </w:r>
    </w:p>
    <w:p>
      <w:pPr>
        <w:pStyle w:val="ListParagraph"/>
        <w:numPr>
          <w:ilvl w:val="1"/>
          <w:numId w:val="1"/>
        </w:numPr>
        <w:tabs>
          <w:tab w:pos="778" w:val="left" w:leader="none"/>
        </w:tabs>
        <w:spacing w:line="333" w:lineRule="auto" w:before="188" w:after="0"/>
        <w:ind w:left="778" w:right="409" w:hanging="360"/>
        <w:jc w:val="both"/>
        <w:rPr>
          <w:sz w:val="22"/>
        </w:rPr>
      </w:pPr>
      <w:r>
        <w:rPr>
          <w:sz w:val="22"/>
        </w:rPr>
        <w:t>RELISTOR</w:t>
      </w:r>
      <w:r>
        <w:rPr>
          <w:spacing w:val="-2"/>
          <w:sz w:val="22"/>
        </w:rPr>
        <w:t> </w:t>
      </w:r>
      <w:r>
        <w:rPr>
          <w:sz w:val="22"/>
        </w:rPr>
        <w:t>injection (≥</w:t>
      </w:r>
      <w:r>
        <w:rPr>
          <w:spacing w:val="-7"/>
          <w:sz w:val="22"/>
        </w:rPr>
        <w:t> </w:t>
      </w:r>
      <w:r>
        <w:rPr>
          <w:sz w:val="22"/>
        </w:rPr>
        <w:t>5%</w:t>
      </w:r>
      <w:r>
        <w:rPr>
          <w:spacing w:val="-5"/>
          <w:sz w:val="22"/>
        </w:rPr>
        <w:t> </w:t>
      </w:r>
      <w:r>
        <w:rPr>
          <w:sz w:val="22"/>
        </w:rPr>
        <w:t>of RELISTOR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5"/>
          <w:sz w:val="22"/>
        </w:rPr>
        <w:t> </w:t>
      </w:r>
      <w:r>
        <w:rPr>
          <w:sz w:val="22"/>
        </w:rPr>
        <w:t>and at a</w:t>
      </w:r>
      <w:r>
        <w:rPr>
          <w:spacing w:val="-4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incidence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placebo):</w:t>
      </w:r>
      <w:r>
        <w:rPr>
          <w:spacing w:val="-4"/>
          <w:sz w:val="22"/>
        </w:rPr>
        <w:t> </w:t>
      </w:r>
      <w:r>
        <w:rPr>
          <w:sz w:val="22"/>
        </w:rPr>
        <w:t>abdominal pain (29%), flatulence (13%), nausea (12%), dizziness (7%), and diarrhea (6%).</w:t>
      </w:r>
    </w:p>
    <w:p>
      <w:pPr>
        <w:spacing w:line="400" w:lineRule="auto" w:before="148"/>
        <w:ind w:left="144" w:right="5372" w:hanging="87"/>
        <w:jc w:val="both"/>
        <w:rPr>
          <w:sz w:val="20"/>
        </w:rPr>
      </w:pPr>
      <w:r>
        <w:rPr>
          <w:sz w:val="22"/>
        </w:rPr>
        <w:t>Please see the accompanying full </w:t>
      </w:r>
      <w:hyperlink r:id="rId7">
        <w:r>
          <w:rPr>
            <w:color w:val="0462C1"/>
            <w:sz w:val="22"/>
            <w:u w:val="single" w:color="0462C1"/>
          </w:rPr>
          <w:t>Prescribing Information</w:t>
        </w:r>
      </w:hyperlink>
      <w:r>
        <w:rPr>
          <w:sz w:val="22"/>
        </w:rPr>
        <w:t>. </w:t>
      </w:r>
      <w:r>
        <w:rPr>
          <w:sz w:val="20"/>
        </w:rPr>
        <w:t>Relistor is a trademark of Salix Pharmaceuticals or its affiliates. All other</w:t>
      </w:r>
      <w:r>
        <w:rPr>
          <w:spacing w:val="-8"/>
          <w:sz w:val="20"/>
        </w:rPr>
        <w:t> </w:t>
      </w:r>
      <w:r>
        <w:rPr>
          <w:sz w:val="20"/>
        </w:rPr>
        <w:t>trademarks</w:t>
      </w:r>
      <w:r>
        <w:rPr>
          <w:spacing w:val="-7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respective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owners.</w:t>
      </w:r>
    </w:p>
    <w:p>
      <w:pPr>
        <w:tabs>
          <w:tab w:pos="8787" w:val="left" w:leader="none"/>
        </w:tabs>
        <w:spacing w:before="4"/>
        <w:ind w:left="144" w:right="0" w:firstLine="0"/>
        <w:jc w:val="both"/>
        <w:rPr>
          <w:sz w:val="20"/>
        </w:rPr>
      </w:pPr>
      <w:r>
        <w:rPr>
          <w:sz w:val="20"/>
        </w:rPr>
        <w:t>©</w:t>
      </w:r>
      <w:r>
        <w:rPr>
          <w:spacing w:val="-3"/>
          <w:sz w:val="20"/>
        </w:rPr>
        <w:t> </w:t>
      </w:r>
      <w:r>
        <w:rPr>
          <w:sz w:val="20"/>
        </w:rPr>
        <w:t>2025</w:t>
      </w:r>
      <w:r>
        <w:rPr>
          <w:spacing w:val="-3"/>
          <w:sz w:val="20"/>
        </w:rPr>
        <w:t> </w:t>
      </w:r>
      <w:r>
        <w:rPr>
          <w:sz w:val="20"/>
        </w:rPr>
        <w:t>Salix</w:t>
      </w:r>
      <w:r>
        <w:rPr>
          <w:spacing w:val="-2"/>
          <w:sz w:val="20"/>
        </w:rPr>
        <w:t> </w:t>
      </w:r>
      <w:r>
        <w:rPr>
          <w:sz w:val="20"/>
        </w:rPr>
        <w:t>Pharmaceuticals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affiliates.</w:t>
      </w:r>
      <w:r>
        <w:rPr>
          <w:sz w:val="20"/>
        </w:rPr>
        <w:tab/>
      </w:r>
      <w:r>
        <w:rPr>
          <w:spacing w:val="-2"/>
          <w:sz w:val="20"/>
        </w:rPr>
        <w:t>REL.0131.USA.23V3.0</w:t>
      </w:r>
    </w:p>
    <w:sectPr>
      <w:pgSz w:w="12240" w:h="15840"/>
      <w:pgMar w:top="84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110" w:hanging="25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6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2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2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25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110" w:hanging="25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9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1" w:hanging="25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0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1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1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2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3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5" w:hanging="2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139" w:hanging="255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7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3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78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5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778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elistorhcp.com/" TargetMode="External"/><Relationship Id="rId6" Type="http://schemas.openxmlformats.org/officeDocument/2006/relationships/hyperlink" Target="http://www.steptherapy.com/" TargetMode="External"/><Relationship Id="rId7" Type="http://schemas.openxmlformats.org/officeDocument/2006/relationships/hyperlink" Target="https://shared.salix.com/globalassets/pi/relistor-pi.pdf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CMS/CM/MEAG/DAP</dc:creator>
  <cp:keywords>Rx, prescription, coverage, determination, enrollee</cp:keywords>
  <dc:subject>Prescription drug coverage determination</dc:subject>
  <dcterms:created xsi:type="dcterms:W3CDTF">2025-05-09T15:59:50Z</dcterms:created>
  <dcterms:modified xsi:type="dcterms:W3CDTF">2025-05-09T15:59:50Z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2025-05-09T00:00:00Z</vt:filetime>
  </property>
  <property fmtid="{D5CDD505-2E9C-101B-9397-08002B2CF9AE}" pid="5" name="Producer">
    <vt:lpwstr>www.ilovepdf.com</vt:lpwstr>
  </property>
</Properties>
</file>