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D6C6" w14:textId="1BECC126" w:rsidR="006242A9" w:rsidRDefault="006242A9" w:rsidP="00200D96">
      <w:pPr>
        <w:spacing w:after="120"/>
        <w:ind w:left="-15" w:firstLine="0"/>
        <w:rPr>
          <w:b/>
          <w:bCs/>
          <w:sz w:val="22"/>
        </w:rPr>
      </w:pPr>
      <w:r>
        <w:rPr>
          <w:b/>
          <w:bCs/>
          <w:sz w:val="22"/>
        </w:rPr>
        <w:t xml:space="preserve">Date: </w:t>
      </w:r>
      <w:r w:rsidRPr="00CA5ABF">
        <w:rPr>
          <w:sz w:val="22"/>
        </w:rPr>
        <w:t>&lt;</w:t>
      </w:r>
      <w:r w:rsidRPr="00CA5ABF">
        <w:rPr>
          <w:color w:val="2F5496" w:themeColor="accent1" w:themeShade="BF"/>
          <w:sz w:val="22"/>
        </w:rPr>
        <w:t>Insert Date</w:t>
      </w:r>
      <w:r w:rsidRPr="00CA5ABF">
        <w:rPr>
          <w:sz w:val="22"/>
        </w:rPr>
        <w:t>&gt;</w:t>
      </w:r>
    </w:p>
    <w:p w14:paraId="706C0B77" w14:textId="2B8924D0" w:rsidR="006242A9" w:rsidRDefault="006242A9" w:rsidP="00200D96">
      <w:pPr>
        <w:spacing w:after="120"/>
        <w:ind w:left="-15" w:firstLine="0"/>
        <w:rPr>
          <w:b/>
          <w:bCs/>
          <w:sz w:val="22"/>
        </w:rPr>
      </w:pPr>
      <w:r>
        <w:rPr>
          <w:b/>
          <w:bCs/>
          <w:sz w:val="22"/>
        </w:rPr>
        <w:t xml:space="preserve">Payer Name: </w:t>
      </w:r>
      <w:r w:rsidR="00260954" w:rsidRPr="00CA5ABF">
        <w:rPr>
          <w:sz w:val="22"/>
        </w:rPr>
        <w:t>&lt;</w:t>
      </w:r>
      <w:r w:rsidR="00260954" w:rsidRPr="00CA5ABF">
        <w:rPr>
          <w:color w:val="2F5496" w:themeColor="accent1" w:themeShade="BF"/>
          <w:sz w:val="22"/>
        </w:rPr>
        <w:t>Insert Payer Name</w:t>
      </w:r>
      <w:r w:rsidR="00260954" w:rsidRPr="00CA5ABF">
        <w:rPr>
          <w:sz w:val="22"/>
        </w:rPr>
        <w:t>&gt;</w:t>
      </w:r>
    </w:p>
    <w:p w14:paraId="771DAA90" w14:textId="2283E25C" w:rsidR="001F459F" w:rsidRDefault="007E660F" w:rsidP="00200D96">
      <w:pPr>
        <w:spacing w:after="120"/>
        <w:ind w:left="-15" w:firstLine="0"/>
        <w:rPr>
          <w:b/>
          <w:color w:val="FF66CC"/>
          <w:sz w:val="22"/>
        </w:rPr>
      </w:pPr>
      <w:r w:rsidRPr="00F773B3">
        <w:rPr>
          <w:b/>
          <w:bCs/>
          <w:sz w:val="22"/>
        </w:rPr>
        <w:t xml:space="preserve">Payer </w:t>
      </w:r>
      <w:r w:rsidR="006E37C4" w:rsidRPr="00F773B3">
        <w:rPr>
          <w:b/>
          <w:bCs/>
          <w:sz w:val="22"/>
        </w:rPr>
        <w:t>Address</w:t>
      </w:r>
      <w:r w:rsidR="006E37C4" w:rsidRPr="00F773B3">
        <w:rPr>
          <w:sz w:val="22"/>
        </w:rPr>
        <w:t xml:space="preserve">: </w:t>
      </w:r>
      <w:r w:rsidR="00B80A2E" w:rsidRPr="00CA5ABF">
        <w:rPr>
          <w:bCs/>
          <w:color w:val="000000" w:themeColor="text1"/>
          <w:sz w:val="22"/>
        </w:rPr>
        <w:t>&lt;</w:t>
      </w:r>
      <w:r w:rsidR="00B80A2E" w:rsidRPr="00CA5ABF">
        <w:rPr>
          <w:bCs/>
          <w:color w:val="2F5496" w:themeColor="accent1" w:themeShade="BF"/>
          <w:sz w:val="22"/>
        </w:rPr>
        <w:t>Insert Plan Address</w:t>
      </w:r>
      <w:r w:rsidR="00CA5ABF" w:rsidRPr="00CA5ABF">
        <w:rPr>
          <w:bCs/>
          <w:color w:val="000000" w:themeColor="text1"/>
          <w:sz w:val="22"/>
        </w:rPr>
        <w:t>&gt;</w:t>
      </w:r>
      <w:r w:rsidR="008E1E50" w:rsidRPr="00F773B3">
        <w:rPr>
          <w:b/>
          <w:color w:val="FF66CC"/>
          <w:sz w:val="22"/>
        </w:rPr>
        <w:t xml:space="preserve"> </w:t>
      </w:r>
      <w:r w:rsidR="008E1E50" w:rsidRPr="00F773B3">
        <w:rPr>
          <w:b/>
          <w:bCs/>
          <w:color w:val="FF66CC"/>
          <w:sz w:val="22"/>
        </w:rPr>
        <w:tab/>
      </w:r>
      <w:r w:rsidR="00CA5ABF">
        <w:rPr>
          <w:b/>
          <w:bCs/>
          <w:color w:val="FF66CC"/>
          <w:sz w:val="22"/>
        </w:rPr>
        <w:tab/>
      </w:r>
      <w:r w:rsidRPr="00F773B3">
        <w:rPr>
          <w:b/>
          <w:bCs/>
          <w:sz w:val="22"/>
        </w:rPr>
        <w:t xml:space="preserve">Payer </w:t>
      </w:r>
      <w:r w:rsidR="006E37C4" w:rsidRPr="00F773B3">
        <w:rPr>
          <w:b/>
          <w:bCs/>
          <w:sz w:val="22"/>
        </w:rPr>
        <w:t>Fax Number:</w:t>
      </w:r>
      <w:r w:rsidR="006E37C4" w:rsidRPr="00F773B3">
        <w:rPr>
          <w:sz w:val="22"/>
        </w:rPr>
        <w:t xml:space="preserve"> </w:t>
      </w:r>
      <w:r w:rsidR="00CA5ABF" w:rsidRPr="00CA5ABF">
        <w:rPr>
          <w:bCs/>
          <w:color w:val="auto"/>
          <w:sz w:val="22"/>
        </w:rPr>
        <w:t>&lt;</w:t>
      </w:r>
      <w:r w:rsidR="00CA5ABF" w:rsidRPr="00CA5ABF">
        <w:rPr>
          <w:bCs/>
          <w:color w:val="2F5496" w:themeColor="accent1" w:themeShade="BF"/>
          <w:sz w:val="22"/>
        </w:rPr>
        <w:t>Insert Plan Fax Number</w:t>
      </w:r>
      <w:r w:rsidR="00CA5ABF" w:rsidRPr="00CA5ABF">
        <w:rPr>
          <w:bCs/>
          <w:color w:val="auto"/>
          <w:sz w:val="22"/>
        </w:rPr>
        <w:t>&gt;</w:t>
      </w:r>
    </w:p>
    <w:p w14:paraId="499E3E2E" w14:textId="188BEA8F" w:rsidR="00735261" w:rsidRPr="00F773B3" w:rsidRDefault="00B80A2E" w:rsidP="00735261">
      <w:pPr>
        <w:spacing w:after="120"/>
        <w:rPr>
          <w:sz w:val="22"/>
        </w:rPr>
      </w:pPr>
      <w:r>
        <w:rPr>
          <w:b/>
          <w:bCs/>
          <w:sz w:val="22"/>
        </w:rPr>
        <w:t>Attn:</w:t>
      </w:r>
      <w:r>
        <w:rPr>
          <w:sz w:val="22"/>
        </w:rPr>
        <w:t xml:space="preserve"> &lt;</w:t>
      </w:r>
      <w:r w:rsidRPr="00CA5ABF">
        <w:rPr>
          <w:color w:val="2F5496" w:themeColor="accent1" w:themeShade="BF"/>
          <w:sz w:val="22"/>
        </w:rPr>
        <w:t>Appeals Department</w:t>
      </w:r>
      <w:r>
        <w:rPr>
          <w:sz w:val="22"/>
        </w:rPr>
        <w:t>&gt;</w:t>
      </w:r>
    </w:p>
    <w:p w14:paraId="784BAEFA" w14:textId="77777777" w:rsidR="00CA5ABF" w:rsidRDefault="00CA5ABF" w:rsidP="008E1E50">
      <w:pPr>
        <w:spacing w:after="120"/>
        <w:ind w:left="-15" w:firstLine="0"/>
        <w:rPr>
          <w:b/>
          <w:bCs/>
          <w:color w:val="FF66CC"/>
          <w:sz w:val="22"/>
        </w:rPr>
      </w:pPr>
    </w:p>
    <w:p w14:paraId="0D05428A" w14:textId="28E1C4E8" w:rsidR="007E660F" w:rsidRPr="00F773B3" w:rsidRDefault="00144456" w:rsidP="008E1E50">
      <w:pPr>
        <w:spacing w:after="120"/>
        <w:ind w:left="-15" w:firstLine="0"/>
        <w:rPr>
          <w:b/>
          <w:color w:val="FF66CC"/>
          <w:sz w:val="22"/>
        </w:rPr>
      </w:pPr>
      <w:r w:rsidRPr="00F773B3">
        <w:rPr>
          <w:b/>
          <w:bCs/>
          <w:color w:val="FF66CC"/>
          <w:sz w:val="22"/>
        </w:rPr>
        <w:tab/>
      </w:r>
      <w:r w:rsidR="00E304C6" w:rsidRPr="00F773B3">
        <w:rPr>
          <w:bCs/>
          <w:color w:val="auto"/>
          <w:sz w:val="22"/>
        </w:rPr>
        <w:t>To Whom It May Concern:</w:t>
      </w:r>
    </w:p>
    <w:p w14:paraId="0F292EF0" w14:textId="77CDFE9C" w:rsidR="00E304C6" w:rsidRPr="00483E28" w:rsidRDefault="00E304C6" w:rsidP="00483E28">
      <w:pPr>
        <w:spacing w:after="120"/>
        <w:ind w:left="-15" w:firstLine="0"/>
        <w:rPr>
          <w:rFonts w:eastAsia="Times New Roman"/>
          <w:color w:val="auto"/>
          <w:kern w:val="0"/>
          <w:sz w:val="22"/>
          <w14:ligatures w14:val="none"/>
        </w:rPr>
      </w:pPr>
      <w:r w:rsidRPr="00F773B3">
        <w:rPr>
          <w:bCs/>
          <w:color w:val="auto"/>
          <w:sz w:val="22"/>
        </w:rPr>
        <w:t xml:space="preserve">I </w:t>
      </w:r>
      <w:r w:rsidR="000659B3">
        <w:rPr>
          <w:bCs/>
          <w:color w:val="auto"/>
          <w:sz w:val="22"/>
        </w:rPr>
        <w:t xml:space="preserve">am writing on behalf of my </w:t>
      </w:r>
      <w:r w:rsidR="00853069">
        <w:rPr>
          <w:bCs/>
          <w:color w:val="auto"/>
          <w:sz w:val="22"/>
        </w:rPr>
        <w:t xml:space="preserve">patient </w:t>
      </w:r>
      <w:r w:rsidR="00D85138" w:rsidRPr="00D85138">
        <w:rPr>
          <w:bCs/>
          <w:color w:val="000000" w:themeColor="text1"/>
          <w:sz w:val="22"/>
        </w:rPr>
        <w:t>&lt;</w:t>
      </w:r>
      <w:r w:rsidR="00D85138" w:rsidRPr="00D85138">
        <w:rPr>
          <w:bCs/>
          <w:color w:val="2F5496" w:themeColor="accent1" w:themeShade="BF"/>
          <w:sz w:val="22"/>
        </w:rPr>
        <w:t>Insert Patient Name</w:t>
      </w:r>
      <w:r w:rsidR="00D85138" w:rsidRPr="00D85138">
        <w:rPr>
          <w:bCs/>
          <w:color w:val="000000" w:themeColor="text1"/>
          <w:sz w:val="22"/>
        </w:rPr>
        <w:t>&gt;</w:t>
      </w:r>
      <w:r w:rsidR="00853069" w:rsidRPr="00F773B3">
        <w:rPr>
          <w:b/>
          <w:color w:val="FF66CC"/>
          <w:sz w:val="22"/>
        </w:rPr>
        <w:t xml:space="preserve"> </w:t>
      </w:r>
      <w:r w:rsidR="00853069">
        <w:rPr>
          <w:bCs/>
          <w:color w:val="auto"/>
          <w:sz w:val="22"/>
        </w:rPr>
        <w:t xml:space="preserve">to provide </w:t>
      </w:r>
      <w:r w:rsidR="00B668AF">
        <w:rPr>
          <w:bCs/>
          <w:color w:val="auto"/>
          <w:sz w:val="22"/>
        </w:rPr>
        <w:t xml:space="preserve">additional </w:t>
      </w:r>
      <w:r w:rsidR="00853069">
        <w:rPr>
          <w:bCs/>
          <w:color w:val="auto"/>
          <w:sz w:val="22"/>
        </w:rPr>
        <w:t xml:space="preserve">information supporting medical </w:t>
      </w:r>
      <w:r w:rsidR="00A64E94">
        <w:rPr>
          <w:bCs/>
          <w:color w:val="auto"/>
          <w:sz w:val="22"/>
        </w:rPr>
        <w:t xml:space="preserve">necessity for the treatment with </w:t>
      </w:r>
      <w:r w:rsidR="00A64E94" w:rsidRPr="00F773B3">
        <w:rPr>
          <w:rFonts w:eastAsia="Times New Roman"/>
          <w:color w:val="auto"/>
          <w:kern w:val="0"/>
          <w:sz w:val="22"/>
          <w14:ligatures w14:val="none"/>
        </w:rPr>
        <w:t>RELISTOR</w:t>
      </w:r>
      <w:r w:rsidR="00A64E94" w:rsidRPr="00F773B3">
        <w:rPr>
          <w:rFonts w:eastAsia="Times New Roman"/>
          <w:color w:val="auto"/>
          <w:kern w:val="0"/>
          <w:sz w:val="22"/>
          <w:bdr w:val="none" w:sz="0" w:space="0" w:color="auto" w:frame="1"/>
          <w:vertAlign w:val="superscript"/>
          <w14:ligatures w14:val="none"/>
        </w:rPr>
        <w:t>®</w:t>
      </w:r>
      <w:r w:rsidR="00A64E94" w:rsidRPr="00F773B3">
        <w:rPr>
          <w:rFonts w:eastAsia="Times New Roman"/>
          <w:color w:val="auto"/>
          <w:kern w:val="0"/>
          <w:sz w:val="22"/>
          <w14:ligatures w14:val="none"/>
        </w:rPr>
        <w:t xml:space="preserve"> (methylnaltrexone bromide). </w:t>
      </w:r>
      <w:r w:rsidR="00B668AF">
        <w:rPr>
          <w:rFonts w:eastAsia="Times New Roman"/>
          <w:color w:val="auto"/>
          <w:kern w:val="0"/>
          <w:sz w:val="22"/>
          <w14:ligatures w14:val="none"/>
        </w:rPr>
        <w:t>Within this letter I am providing my patient</w:t>
      </w:r>
      <w:r w:rsidR="000E6543">
        <w:rPr>
          <w:rFonts w:eastAsia="Times New Roman"/>
          <w:color w:val="auto"/>
          <w:kern w:val="0"/>
          <w:sz w:val="22"/>
          <w14:ligatures w14:val="none"/>
        </w:rPr>
        <w:t xml:space="preserve">’s </w:t>
      </w:r>
      <w:r w:rsidRPr="00F773B3">
        <w:rPr>
          <w:rFonts w:eastAsia="Times New Roman"/>
          <w:color w:val="auto"/>
          <w:kern w:val="0"/>
          <w:sz w:val="22"/>
          <w14:ligatures w14:val="none"/>
        </w:rPr>
        <w:t>medical history</w:t>
      </w:r>
      <w:r w:rsidR="000E6543">
        <w:rPr>
          <w:rFonts w:eastAsia="Times New Roman"/>
          <w:color w:val="auto"/>
          <w:kern w:val="0"/>
          <w:sz w:val="22"/>
          <w14:ligatures w14:val="none"/>
        </w:rPr>
        <w:t>, diagnosis</w:t>
      </w:r>
      <w:r w:rsidR="000E24BA">
        <w:rPr>
          <w:rFonts w:eastAsia="Times New Roman"/>
          <w:color w:val="auto"/>
          <w:kern w:val="0"/>
          <w:sz w:val="22"/>
          <w14:ligatures w14:val="none"/>
        </w:rPr>
        <w:t xml:space="preserve">, a description of their previous drug treatment </w:t>
      </w:r>
      <w:r w:rsidR="000E6543">
        <w:rPr>
          <w:rFonts w:eastAsia="Times New Roman"/>
          <w:color w:val="auto"/>
          <w:kern w:val="0"/>
          <w:sz w:val="22"/>
          <w14:ligatures w14:val="none"/>
        </w:rPr>
        <w:t xml:space="preserve">and a summary of their </w:t>
      </w:r>
      <w:r w:rsidR="000E24BA">
        <w:rPr>
          <w:rFonts w:eastAsia="Times New Roman"/>
          <w:color w:val="auto"/>
          <w:kern w:val="0"/>
          <w:sz w:val="22"/>
          <w14:ligatures w14:val="none"/>
        </w:rPr>
        <w:t xml:space="preserve">proposed </w:t>
      </w:r>
      <w:r w:rsidR="000E6543">
        <w:rPr>
          <w:rFonts w:eastAsia="Times New Roman"/>
          <w:color w:val="auto"/>
          <w:kern w:val="0"/>
          <w:sz w:val="22"/>
          <w14:ligatures w14:val="none"/>
        </w:rPr>
        <w:t>treatment plan</w:t>
      </w:r>
      <w:r w:rsidR="009A6CEB">
        <w:rPr>
          <w:rFonts w:eastAsia="Times New Roman"/>
          <w:color w:val="auto"/>
          <w:kern w:val="0"/>
          <w:sz w:val="22"/>
          <w14:ligatures w14:val="none"/>
        </w:rPr>
        <w:t xml:space="preserve">. </w:t>
      </w:r>
      <w:r w:rsidR="00483E28">
        <w:rPr>
          <w:rFonts w:eastAsia="Times New Roman"/>
          <w:color w:val="auto"/>
          <w:kern w:val="0"/>
          <w:sz w:val="22"/>
          <w14:ligatures w14:val="none"/>
        </w:rPr>
        <w:t>I have also provided m</w:t>
      </w:r>
      <w:r w:rsidR="005E1AC2">
        <w:rPr>
          <w:rFonts w:eastAsia="Times New Roman"/>
          <w:color w:val="auto"/>
          <w:kern w:val="0"/>
          <w:sz w:val="22"/>
          <w14:ligatures w14:val="none"/>
        </w:rPr>
        <w:t>y</w:t>
      </w:r>
      <w:r w:rsidR="00483E28">
        <w:rPr>
          <w:rFonts w:eastAsia="Times New Roman"/>
          <w:color w:val="auto"/>
          <w:kern w:val="0"/>
          <w:sz w:val="22"/>
          <w14:ligatures w14:val="none"/>
        </w:rPr>
        <w:t xml:space="preserve"> clinically based rationale supporting the medical necessity of </w:t>
      </w:r>
      <w:r w:rsidR="00483E28" w:rsidRPr="00F773B3">
        <w:rPr>
          <w:rFonts w:eastAsia="Times New Roman"/>
          <w:color w:val="auto"/>
          <w:kern w:val="0"/>
          <w:sz w:val="22"/>
          <w14:ligatures w14:val="none"/>
        </w:rPr>
        <w:t>RELISTOR</w:t>
      </w:r>
      <w:r w:rsidR="00483E28" w:rsidRPr="00F773B3">
        <w:rPr>
          <w:rFonts w:eastAsia="Times New Roman"/>
          <w:color w:val="auto"/>
          <w:kern w:val="0"/>
          <w:sz w:val="22"/>
          <w:bdr w:val="none" w:sz="0" w:space="0" w:color="auto" w:frame="1"/>
          <w:vertAlign w:val="superscript"/>
          <w14:ligatures w14:val="none"/>
        </w:rPr>
        <w:t>®</w:t>
      </w:r>
      <w:r w:rsidR="00483E28" w:rsidRPr="00F773B3">
        <w:rPr>
          <w:rFonts w:eastAsia="Times New Roman"/>
          <w:color w:val="auto"/>
          <w:kern w:val="0"/>
          <w:sz w:val="22"/>
          <w14:ligatures w14:val="none"/>
        </w:rPr>
        <w:t> (methylnaltrexone bromide)</w:t>
      </w:r>
      <w:r w:rsidR="00483E28">
        <w:rPr>
          <w:rFonts w:eastAsia="Times New Roman"/>
          <w:color w:val="auto"/>
          <w:kern w:val="0"/>
          <w:sz w:val="22"/>
          <w14:ligatures w14:val="none"/>
        </w:rPr>
        <w:t xml:space="preserve"> for my patient.</w:t>
      </w:r>
    </w:p>
    <w:p w14:paraId="6E624BA0" w14:textId="141A73F8" w:rsidR="001F459F" w:rsidRPr="00F773B3" w:rsidRDefault="007E660F" w:rsidP="00200D96">
      <w:pPr>
        <w:spacing w:after="120"/>
        <w:ind w:left="-5" w:right="150"/>
        <w:rPr>
          <w:sz w:val="22"/>
        </w:rPr>
      </w:pPr>
      <w:r w:rsidRPr="00F773B3">
        <w:rPr>
          <w:b/>
          <w:sz w:val="22"/>
        </w:rPr>
        <w:t>Patient</w:t>
      </w:r>
      <w:r w:rsidR="006E37C4" w:rsidRPr="00F773B3">
        <w:rPr>
          <w:b/>
          <w:sz w:val="22"/>
        </w:rPr>
        <w:t xml:space="preserve"> Information</w:t>
      </w:r>
      <w:r w:rsidR="00804A99" w:rsidRPr="00F773B3">
        <w:rPr>
          <w:b/>
          <w:sz w:val="22"/>
        </w:rPr>
        <w:t>:</w:t>
      </w:r>
      <w:r w:rsidR="006E37C4" w:rsidRPr="00F773B3">
        <w:rPr>
          <w:sz w:val="22"/>
        </w:rPr>
        <w:t xml:space="preserve"> </w:t>
      </w:r>
    </w:p>
    <w:tbl>
      <w:tblPr>
        <w:tblStyle w:val="TableGrid"/>
        <w:tblW w:w="10800" w:type="dxa"/>
        <w:tblInd w:w="-5" w:type="dxa"/>
        <w:tblCellMar>
          <w:left w:w="108" w:type="dxa"/>
          <w:right w:w="115" w:type="dxa"/>
        </w:tblCellMar>
        <w:tblLook w:val="04A0" w:firstRow="1" w:lastRow="0" w:firstColumn="1" w:lastColumn="0" w:noHBand="0" w:noVBand="1"/>
      </w:tblPr>
      <w:tblGrid>
        <w:gridCol w:w="4428"/>
        <w:gridCol w:w="2585"/>
        <w:gridCol w:w="3787"/>
      </w:tblGrid>
      <w:tr w:rsidR="003A12EB" w:rsidRPr="00F773B3" w14:paraId="03F145C9" w14:textId="77777777" w:rsidTr="006A6E94">
        <w:trPr>
          <w:trHeight w:val="564"/>
        </w:trPr>
        <w:tc>
          <w:tcPr>
            <w:tcW w:w="7013" w:type="dxa"/>
            <w:gridSpan w:val="2"/>
            <w:tcBorders>
              <w:top w:val="single" w:sz="4" w:space="0" w:color="000000"/>
              <w:left w:val="single" w:sz="4" w:space="0" w:color="000000"/>
              <w:bottom w:val="single" w:sz="4" w:space="0" w:color="000000"/>
              <w:right w:val="single" w:sz="4" w:space="0" w:color="000000"/>
            </w:tcBorders>
          </w:tcPr>
          <w:p w14:paraId="23D1AF8E" w14:textId="7313B654" w:rsidR="003A12EB" w:rsidRPr="00F773B3" w:rsidRDefault="007E660F" w:rsidP="00200D96">
            <w:pPr>
              <w:spacing w:after="120" w:line="259" w:lineRule="auto"/>
              <w:ind w:left="0" w:firstLine="0"/>
              <w:rPr>
                <w:sz w:val="22"/>
              </w:rPr>
            </w:pPr>
            <w:r w:rsidRPr="00F773B3">
              <w:rPr>
                <w:sz w:val="22"/>
              </w:rPr>
              <w:t>Patient</w:t>
            </w:r>
            <w:r w:rsidR="003A12EB" w:rsidRPr="00F773B3">
              <w:rPr>
                <w:sz w:val="22"/>
              </w:rPr>
              <w:t xml:space="preserve">’s Name </w:t>
            </w:r>
          </w:p>
        </w:tc>
        <w:tc>
          <w:tcPr>
            <w:tcW w:w="3787" w:type="dxa"/>
            <w:tcBorders>
              <w:top w:val="single" w:sz="4" w:space="0" w:color="000000"/>
              <w:left w:val="single" w:sz="4" w:space="0" w:color="000000"/>
              <w:bottom w:val="single" w:sz="4" w:space="0" w:color="000000"/>
              <w:right w:val="single" w:sz="4" w:space="0" w:color="000000"/>
            </w:tcBorders>
          </w:tcPr>
          <w:p w14:paraId="3E48A511" w14:textId="77777777" w:rsidR="003A12EB" w:rsidRPr="00F773B3" w:rsidRDefault="003A12EB" w:rsidP="00200D96">
            <w:pPr>
              <w:spacing w:after="120" w:line="259" w:lineRule="auto"/>
              <w:ind w:left="0" w:firstLine="0"/>
              <w:rPr>
                <w:sz w:val="22"/>
              </w:rPr>
            </w:pPr>
            <w:r w:rsidRPr="00F773B3">
              <w:rPr>
                <w:sz w:val="22"/>
              </w:rPr>
              <w:t xml:space="preserve">Date of Birth </w:t>
            </w:r>
          </w:p>
        </w:tc>
      </w:tr>
      <w:tr w:rsidR="003A12EB" w:rsidRPr="00F773B3" w14:paraId="679B000A" w14:textId="77777777" w:rsidTr="00B964B7">
        <w:trPr>
          <w:trHeight w:val="562"/>
        </w:trPr>
        <w:tc>
          <w:tcPr>
            <w:tcW w:w="10800" w:type="dxa"/>
            <w:gridSpan w:val="3"/>
            <w:tcBorders>
              <w:top w:val="single" w:sz="4" w:space="0" w:color="000000"/>
              <w:left w:val="single" w:sz="4" w:space="0" w:color="000000"/>
              <w:bottom w:val="single" w:sz="4" w:space="0" w:color="000000"/>
              <w:right w:val="single" w:sz="4" w:space="0" w:color="000000"/>
            </w:tcBorders>
          </w:tcPr>
          <w:p w14:paraId="0848B02A" w14:textId="780328E4" w:rsidR="003A12EB" w:rsidRPr="00F773B3" w:rsidRDefault="007E660F" w:rsidP="00200D96">
            <w:pPr>
              <w:spacing w:after="120" w:line="259" w:lineRule="auto"/>
              <w:ind w:left="0" w:firstLine="0"/>
              <w:rPr>
                <w:sz w:val="22"/>
              </w:rPr>
            </w:pPr>
            <w:r w:rsidRPr="00F773B3">
              <w:rPr>
                <w:sz w:val="22"/>
              </w:rPr>
              <w:t>Patient</w:t>
            </w:r>
            <w:r w:rsidR="003A12EB" w:rsidRPr="00F773B3">
              <w:rPr>
                <w:sz w:val="22"/>
              </w:rPr>
              <w:t xml:space="preserve">’s Address </w:t>
            </w:r>
          </w:p>
        </w:tc>
      </w:tr>
      <w:tr w:rsidR="001F459F" w:rsidRPr="00F773B3" w14:paraId="5C81306B" w14:textId="77777777" w:rsidTr="00E059D2">
        <w:trPr>
          <w:trHeight w:val="562"/>
        </w:trPr>
        <w:tc>
          <w:tcPr>
            <w:tcW w:w="4428" w:type="dxa"/>
            <w:tcBorders>
              <w:top w:val="single" w:sz="4" w:space="0" w:color="000000"/>
              <w:left w:val="single" w:sz="4" w:space="0" w:color="000000"/>
              <w:bottom w:val="single" w:sz="4" w:space="0" w:color="000000"/>
              <w:right w:val="single" w:sz="4" w:space="0" w:color="000000"/>
            </w:tcBorders>
          </w:tcPr>
          <w:p w14:paraId="405D7618" w14:textId="77777777" w:rsidR="001F459F" w:rsidRPr="00F773B3" w:rsidRDefault="006E37C4" w:rsidP="00200D96">
            <w:pPr>
              <w:spacing w:after="120" w:line="259" w:lineRule="auto"/>
              <w:ind w:left="0" w:firstLine="0"/>
              <w:rPr>
                <w:sz w:val="22"/>
              </w:rPr>
            </w:pPr>
            <w:r w:rsidRPr="00F773B3">
              <w:rPr>
                <w:sz w:val="22"/>
              </w:rPr>
              <w:t xml:space="preserve">City </w:t>
            </w:r>
          </w:p>
        </w:tc>
        <w:tc>
          <w:tcPr>
            <w:tcW w:w="2585" w:type="dxa"/>
            <w:tcBorders>
              <w:top w:val="single" w:sz="4" w:space="0" w:color="000000"/>
              <w:left w:val="single" w:sz="4" w:space="0" w:color="000000"/>
              <w:bottom w:val="single" w:sz="4" w:space="0" w:color="000000"/>
              <w:right w:val="single" w:sz="4" w:space="0" w:color="000000"/>
            </w:tcBorders>
          </w:tcPr>
          <w:p w14:paraId="5C88573A" w14:textId="77777777" w:rsidR="001F459F" w:rsidRPr="00F773B3" w:rsidRDefault="006E37C4" w:rsidP="00200D96">
            <w:pPr>
              <w:spacing w:after="120" w:line="259" w:lineRule="auto"/>
              <w:ind w:left="0" w:firstLine="0"/>
              <w:rPr>
                <w:sz w:val="22"/>
              </w:rPr>
            </w:pPr>
            <w:r w:rsidRPr="00F773B3">
              <w:rPr>
                <w:sz w:val="22"/>
              </w:rPr>
              <w:t xml:space="preserve">State </w:t>
            </w:r>
          </w:p>
        </w:tc>
        <w:tc>
          <w:tcPr>
            <w:tcW w:w="3787" w:type="dxa"/>
            <w:tcBorders>
              <w:top w:val="single" w:sz="4" w:space="0" w:color="000000"/>
              <w:left w:val="single" w:sz="4" w:space="0" w:color="000000"/>
              <w:bottom w:val="single" w:sz="4" w:space="0" w:color="000000"/>
              <w:right w:val="single" w:sz="4" w:space="0" w:color="000000"/>
            </w:tcBorders>
          </w:tcPr>
          <w:p w14:paraId="7587241C" w14:textId="77777777" w:rsidR="001F459F" w:rsidRPr="00F773B3" w:rsidRDefault="006E37C4" w:rsidP="00200D96">
            <w:pPr>
              <w:spacing w:after="120" w:line="259" w:lineRule="auto"/>
              <w:ind w:left="0" w:firstLine="0"/>
              <w:rPr>
                <w:sz w:val="22"/>
              </w:rPr>
            </w:pPr>
            <w:r w:rsidRPr="00F773B3">
              <w:rPr>
                <w:sz w:val="22"/>
              </w:rPr>
              <w:t xml:space="preserve">Zip Code </w:t>
            </w:r>
          </w:p>
        </w:tc>
      </w:tr>
      <w:tr w:rsidR="001F459F" w:rsidRPr="00F773B3" w14:paraId="3B03A3D9" w14:textId="77777777" w:rsidTr="00E059D2">
        <w:trPr>
          <w:trHeight w:val="562"/>
        </w:trPr>
        <w:tc>
          <w:tcPr>
            <w:tcW w:w="4428" w:type="dxa"/>
            <w:tcBorders>
              <w:top w:val="single" w:sz="4" w:space="0" w:color="000000"/>
              <w:left w:val="single" w:sz="4" w:space="0" w:color="000000"/>
              <w:bottom w:val="single" w:sz="4" w:space="0" w:color="000000"/>
              <w:right w:val="single" w:sz="4" w:space="0" w:color="000000"/>
            </w:tcBorders>
          </w:tcPr>
          <w:p w14:paraId="632B6896" w14:textId="44896F2C" w:rsidR="001F459F" w:rsidRPr="00F773B3" w:rsidRDefault="007E660F" w:rsidP="00200D96">
            <w:pPr>
              <w:spacing w:after="120" w:line="259" w:lineRule="auto"/>
              <w:ind w:left="0" w:firstLine="0"/>
              <w:rPr>
                <w:sz w:val="22"/>
              </w:rPr>
            </w:pPr>
            <w:r w:rsidRPr="00F773B3">
              <w:rPr>
                <w:sz w:val="22"/>
              </w:rPr>
              <w:t xml:space="preserve">Member ID #  </w:t>
            </w:r>
          </w:p>
        </w:tc>
        <w:tc>
          <w:tcPr>
            <w:tcW w:w="6372" w:type="dxa"/>
            <w:gridSpan w:val="2"/>
            <w:tcBorders>
              <w:top w:val="single" w:sz="4" w:space="0" w:color="000000"/>
              <w:left w:val="single" w:sz="4" w:space="0" w:color="000000"/>
              <w:bottom w:val="single" w:sz="4" w:space="0" w:color="000000"/>
              <w:right w:val="single" w:sz="4" w:space="0" w:color="000000"/>
            </w:tcBorders>
          </w:tcPr>
          <w:p w14:paraId="13583C07" w14:textId="379950D1" w:rsidR="001F459F" w:rsidRPr="00F773B3" w:rsidRDefault="007E660F" w:rsidP="00200D96">
            <w:pPr>
              <w:spacing w:after="120" w:line="259" w:lineRule="auto"/>
              <w:ind w:left="0" w:firstLine="0"/>
              <w:rPr>
                <w:sz w:val="22"/>
              </w:rPr>
            </w:pPr>
            <w:r w:rsidRPr="00F773B3">
              <w:rPr>
                <w:sz w:val="22"/>
              </w:rPr>
              <w:t>Policy or Group</w:t>
            </w:r>
            <w:r w:rsidR="006E37C4" w:rsidRPr="00F773B3">
              <w:rPr>
                <w:sz w:val="22"/>
              </w:rPr>
              <w:t xml:space="preserve"> #  </w:t>
            </w:r>
          </w:p>
        </w:tc>
      </w:tr>
    </w:tbl>
    <w:p w14:paraId="19359943" w14:textId="77777777" w:rsidR="00EB6301" w:rsidRDefault="00EB6301" w:rsidP="003454DF">
      <w:pPr>
        <w:spacing w:after="120"/>
        <w:ind w:left="0" w:right="108" w:firstLine="0"/>
        <w:jc w:val="both"/>
        <w:rPr>
          <w:rFonts w:ascii="Segoe UI Symbol" w:eastAsia="Times New Roman" w:hAnsi="Segoe UI Symbol" w:cs="Segoe UI Symbol"/>
          <w:sz w:val="22"/>
        </w:rPr>
      </w:pPr>
    </w:p>
    <w:p w14:paraId="30314077" w14:textId="798C5F6C" w:rsidR="003454DF" w:rsidRDefault="003454DF" w:rsidP="003454DF">
      <w:pPr>
        <w:spacing w:after="120"/>
        <w:ind w:left="0" w:right="108" w:firstLine="0"/>
        <w:jc w:val="both"/>
        <w:rPr>
          <w:sz w:val="22"/>
        </w:rPr>
      </w:pPr>
      <w:r>
        <w:rPr>
          <w:rFonts w:ascii="Segoe UI Symbol" w:eastAsia="Times New Roman" w:hAnsi="Segoe UI Symbol" w:cs="Segoe UI Symbol"/>
          <w:sz w:val="22"/>
        </w:rPr>
        <w:t>☐</w:t>
      </w:r>
      <w:r>
        <w:rPr>
          <w:rFonts w:eastAsia="Times New Roman"/>
          <w:sz w:val="22"/>
        </w:rPr>
        <w:t xml:space="preserve"> </w:t>
      </w:r>
      <w:r>
        <w:rPr>
          <w:sz w:val="22"/>
        </w:rPr>
        <w:t>I need approval for a drug that requ</w:t>
      </w:r>
      <w:r w:rsidR="00853D08">
        <w:rPr>
          <w:sz w:val="22"/>
        </w:rPr>
        <w:t>ires a prior authorization prior to treatment</w:t>
      </w:r>
      <w:r>
        <w:rPr>
          <w:sz w:val="22"/>
        </w:rPr>
        <w:t xml:space="preserve"> </w:t>
      </w:r>
    </w:p>
    <w:p w14:paraId="1B6A154B" w14:textId="5867CF29" w:rsidR="001F459F" w:rsidRPr="00F773B3" w:rsidRDefault="001F459F" w:rsidP="0020684D">
      <w:pPr>
        <w:spacing w:after="120"/>
        <w:ind w:left="-5" w:right="108"/>
        <w:jc w:val="both"/>
        <w:rPr>
          <w:sz w:val="22"/>
        </w:rPr>
      </w:pPr>
    </w:p>
    <w:tbl>
      <w:tblPr>
        <w:tblStyle w:val="TableGrid"/>
        <w:tblW w:w="10890" w:type="dxa"/>
        <w:tblInd w:w="-99" w:type="dxa"/>
        <w:tblCellMar>
          <w:right w:w="42" w:type="dxa"/>
        </w:tblCellMar>
        <w:tblLook w:val="04A0" w:firstRow="1" w:lastRow="0" w:firstColumn="1" w:lastColumn="0" w:noHBand="0" w:noVBand="1"/>
      </w:tblPr>
      <w:tblGrid>
        <w:gridCol w:w="3776"/>
        <w:gridCol w:w="1264"/>
        <w:gridCol w:w="1362"/>
        <w:gridCol w:w="4441"/>
        <w:gridCol w:w="47"/>
      </w:tblGrid>
      <w:tr w:rsidR="0020684D" w:rsidRPr="00F773B3" w14:paraId="0AC395F7" w14:textId="77777777" w:rsidTr="008E1E50">
        <w:trPr>
          <w:trHeight w:val="719"/>
        </w:trPr>
        <w:tc>
          <w:tcPr>
            <w:tcW w:w="10890" w:type="dxa"/>
            <w:gridSpan w:val="5"/>
            <w:tcBorders>
              <w:top w:val="single" w:sz="6" w:space="0" w:color="000000"/>
              <w:left w:val="single" w:sz="7" w:space="0" w:color="000000"/>
              <w:bottom w:val="single" w:sz="4" w:space="0" w:color="000000"/>
              <w:right w:val="single" w:sz="4" w:space="0" w:color="000000"/>
            </w:tcBorders>
          </w:tcPr>
          <w:p w14:paraId="0EFFEA4D" w14:textId="77777777" w:rsidR="0020684D" w:rsidRPr="00F773B3" w:rsidRDefault="0020684D" w:rsidP="00D07717">
            <w:pPr>
              <w:spacing w:after="120" w:line="259" w:lineRule="auto"/>
              <w:ind w:left="108" w:firstLine="0"/>
              <w:rPr>
                <w:b/>
                <w:bCs/>
                <w:sz w:val="22"/>
              </w:rPr>
            </w:pPr>
            <w:r w:rsidRPr="00F773B3">
              <w:rPr>
                <w:b/>
                <w:bCs/>
                <w:sz w:val="22"/>
              </w:rPr>
              <w:t xml:space="preserve">Medication: </w:t>
            </w:r>
          </w:p>
          <w:p w14:paraId="0ACC4BAA" w14:textId="301AF867" w:rsidR="0020684D" w:rsidRPr="00F773B3" w:rsidRDefault="0020684D" w:rsidP="00D07717">
            <w:pPr>
              <w:spacing w:after="120" w:line="259" w:lineRule="auto"/>
              <w:ind w:left="108" w:firstLine="0"/>
              <w:rPr>
                <w:sz w:val="22"/>
              </w:rPr>
            </w:pPr>
            <w:r w:rsidRPr="00F773B3">
              <w:rPr>
                <w:rFonts w:ascii="Segoe UI Symbol" w:eastAsia="Segoe UI Symbol" w:hAnsi="Segoe UI Symbol" w:cs="Segoe UI Symbol"/>
                <w:sz w:val="22"/>
              </w:rPr>
              <w:t>☐</w:t>
            </w:r>
            <w:r w:rsidRPr="00F773B3">
              <w:rPr>
                <w:rFonts w:eastAsia="Segoe UI Symbol"/>
                <w:sz w:val="22"/>
              </w:rPr>
              <w:t xml:space="preserve"> </w:t>
            </w:r>
            <w:r w:rsidRPr="00F773B3">
              <w:rPr>
                <w:b/>
                <w:bCs/>
                <w:sz w:val="22"/>
              </w:rPr>
              <w:t>Relistor Tablets</w:t>
            </w:r>
            <w:r w:rsidRPr="00F773B3">
              <w:rPr>
                <w:sz w:val="22"/>
              </w:rPr>
              <w:t xml:space="preserve">: </w:t>
            </w:r>
            <w:r w:rsidR="0094761A">
              <w:rPr>
                <w:sz w:val="22"/>
              </w:rPr>
              <w:t>4</w:t>
            </w:r>
            <w:r w:rsidR="0094761A" w:rsidRPr="00F773B3">
              <w:rPr>
                <w:sz w:val="22"/>
              </w:rPr>
              <w:t>50 mg methylnaltrexone bromide</w:t>
            </w:r>
            <w:r w:rsidR="0094761A">
              <w:rPr>
                <w:sz w:val="22"/>
              </w:rPr>
              <w:t xml:space="preserve"> (3 x 150mg tablets) daily.</w:t>
            </w:r>
          </w:p>
          <w:p w14:paraId="5A7F7B5E" w14:textId="77777777" w:rsidR="0020684D" w:rsidRPr="00F773B3" w:rsidRDefault="0020684D" w:rsidP="00D07717">
            <w:pPr>
              <w:spacing w:after="120" w:line="259" w:lineRule="auto"/>
              <w:ind w:left="108" w:firstLine="0"/>
              <w:rPr>
                <w:sz w:val="22"/>
              </w:rPr>
            </w:pPr>
            <w:r w:rsidRPr="00F773B3">
              <w:rPr>
                <w:b/>
                <w:bCs/>
                <w:sz w:val="22"/>
              </w:rPr>
              <w:t>Relistor Injection</w:t>
            </w:r>
            <w:r w:rsidRPr="00F773B3">
              <w:rPr>
                <w:sz w:val="22"/>
              </w:rPr>
              <w:t xml:space="preserve">: </w:t>
            </w:r>
          </w:p>
          <w:p w14:paraId="67ACB158" w14:textId="79A9C951" w:rsidR="0020684D" w:rsidRPr="00F773B3" w:rsidRDefault="0020684D" w:rsidP="00D07717">
            <w:pPr>
              <w:spacing w:after="120" w:line="259" w:lineRule="auto"/>
              <w:ind w:left="108" w:firstLine="0"/>
              <w:rPr>
                <w:sz w:val="22"/>
              </w:rPr>
            </w:pPr>
            <w:r w:rsidRPr="00F773B3">
              <w:rPr>
                <w:rFonts w:ascii="Segoe UI Symbol" w:eastAsia="Segoe UI Symbol" w:hAnsi="Segoe UI Symbol" w:cs="Segoe UI Symbol"/>
                <w:sz w:val="22"/>
              </w:rPr>
              <w:t>☐</w:t>
            </w:r>
            <w:r w:rsidRPr="00F773B3">
              <w:rPr>
                <w:rFonts w:eastAsia="Segoe UI Symbol"/>
                <w:sz w:val="22"/>
              </w:rPr>
              <w:t xml:space="preserve"> </w:t>
            </w:r>
            <w:r w:rsidRPr="00F773B3">
              <w:rPr>
                <w:sz w:val="22"/>
              </w:rPr>
              <w:t xml:space="preserve">8 mg/0.4 mL methylnaltrexone bromide in single-dose pre-filled syringe. </w:t>
            </w:r>
          </w:p>
          <w:p w14:paraId="0CB805CF" w14:textId="32DE98DB" w:rsidR="0020684D" w:rsidRPr="00F773B3" w:rsidRDefault="0020684D" w:rsidP="00D07717">
            <w:pPr>
              <w:spacing w:after="120" w:line="259" w:lineRule="auto"/>
              <w:ind w:left="100" w:firstLine="0"/>
              <w:rPr>
                <w:sz w:val="22"/>
              </w:rPr>
            </w:pPr>
            <w:r w:rsidRPr="00F773B3">
              <w:rPr>
                <w:rFonts w:ascii="Segoe UI Symbol" w:eastAsia="Segoe UI Symbol" w:hAnsi="Segoe UI Symbol" w:cs="Segoe UI Symbol"/>
                <w:sz w:val="22"/>
              </w:rPr>
              <w:t>☐</w:t>
            </w:r>
            <w:r w:rsidRPr="00F773B3">
              <w:rPr>
                <w:sz w:val="22"/>
              </w:rPr>
              <w:t>12 mg/0.6 mL methylnaltrexone bromide in a single-dose pre-filled syringe, or single-dose vial.</w:t>
            </w:r>
          </w:p>
        </w:tc>
      </w:tr>
      <w:tr w:rsidR="006A0AFD" w:rsidRPr="00F773B3" w14:paraId="19864874" w14:textId="77777777" w:rsidTr="008E1E50">
        <w:trPr>
          <w:trHeight w:val="814"/>
        </w:trPr>
        <w:tc>
          <w:tcPr>
            <w:tcW w:w="5040" w:type="dxa"/>
            <w:gridSpan w:val="2"/>
            <w:tcBorders>
              <w:top w:val="single" w:sz="4" w:space="0" w:color="000000"/>
              <w:left w:val="single" w:sz="7" w:space="0" w:color="000000"/>
              <w:bottom w:val="single" w:sz="4" w:space="0" w:color="000000"/>
              <w:right w:val="single" w:sz="4" w:space="0" w:color="000000"/>
            </w:tcBorders>
          </w:tcPr>
          <w:p w14:paraId="0C5CEE50" w14:textId="77777777" w:rsidR="006A0AFD" w:rsidRPr="00F773B3" w:rsidRDefault="006A0AFD" w:rsidP="00D07717">
            <w:pPr>
              <w:spacing w:after="120" w:line="259" w:lineRule="auto"/>
              <w:ind w:left="108" w:firstLine="0"/>
              <w:rPr>
                <w:sz w:val="22"/>
              </w:rPr>
            </w:pPr>
            <w:r w:rsidRPr="00F773B3">
              <w:rPr>
                <w:sz w:val="22"/>
              </w:rPr>
              <w:t xml:space="preserve">Date Started: </w:t>
            </w:r>
          </w:p>
          <w:p w14:paraId="642F34C6" w14:textId="0C8660F9" w:rsidR="006A0AFD" w:rsidRPr="00F773B3" w:rsidRDefault="006A0AFD" w:rsidP="0093175A">
            <w:pPr>
              <w:spacing w:after="120" w:line="259" w:lineRule="auto"/>
              <w:rPr>
                <w:sz w:val="22"/>
              </w:rPr>
            </w:pPr>
          </w:p>
        </w:tc>
        <w:tc>
          <w:tcPr>
            <w:tcW w:w="5850" w:type="dxa"/>
            <w:gridSpan w:val="3"/>
            <w:tcBorders>
              <w:top w:val="single" w:sz="4" w:space="0" w:color="000000"/>
              <w:left w:val="single" w:sz="4" w:space="0" w:color="000000"/>
              <w:bottom w:val="single" w:sz="4" w:space="0" w:color="000000"/>
              <w:right w:val="single" w:sz="4" w:space="0" w:color="000000"/>
            </w:tcBorders>
          </w:tcPr>
          <w:p w14:paraId="0208753D" w14:textId="77777777" w:rsidR="006A0AFD" w:rsidRPr="00F773B3" w:rsidRDefault="006A0AFD" w:rsidP="00D07717">
            <w:pPr>
              <w:spacing w:after="120" w:line="259" w:lineRule="auto"/>
              <w:ind w:left="100" w:firstLine="0"/>
              <w:rPr>
                <w:sz w:val="22"/>
              </w:rPr>
            </w:pPr>
            <w:r w:rsidRPr="00F773B3">
              <w:rPr>
                <w:sz w:val="22"/>
              </w:rPr>
              <w:t xml:space="preserve">Expected Length of Therapy: </w:t>
            </w:r>
          </w:p>
        </w:tc>
      </w:tr>
      <w:tr w:rsidR="006A0AFD" w:rsidRPr="00F773B3" w14:paraId="38741B49" w14:textId="77777777" w:rsidTr="008E1E50">
        <w:trPr>
          <w:trHeight w:val="1309"/>
        </w:trPr>
        <w:tc>
          <w:tcPr>
            <w:tcW w:w="10890" w:type="dxa"/>
            <w:gridSpan w:val="5"/>
            <w:tcBorders>
              <w:top w:val="single" w:sz="4" w:space="0" w:color="000000"/>
              <w:left w:val="single" w:sz="7" w:space="0" w:color="000000"/>
              <w:bottom w:val="single" w:sz="4" w:space="0" w:color="000000"/>
              <w:right w:val="single" w:sz="4" w:space="0" w:color="000000"/>
            </w:tcBorders>
          </w:tcPr>
          <w:p w14:paraId="4F9652D3" w14:textId="5E2D359D" w:rsidR="006A0AFD" w:rsidRPr="00F773B3" w:rsidRDefault="006A0AFD" w:rsidP="00D07717">
            <w:pPr>
              <w:spacing w:after="120" w:line="240" w:lineRule="auto"/>
              <w:ind w:left="108" w:firstLine="0"/>
              <w:rPr>
                <w:b/>
                <w:sz w:val="22"/>
              </w:rPr>
            </w:pPr>
            <w:r w:rsidRPr="00F773B3">
              <w:rPr>
                <w:b/>
                <w:sz w:val="22"/>
              </w:rPr>
              <w:t>D</w:t>
            </w:r>
            <w:r w:rsidR="0093175A" w:rsidRPr="00F773B3">
              <w:rPr>
                <w:b/>
                <w:sz w:val="22"/>
              </w:rPr>
              <w:t>iagnosis</w:t>
            </w:r>
            <w:r w:rsidRPr="00F773B3">
              <w:rPr>
                <w:b/>
                <w:sz w:val="22"/>
              </w:rPr>
              <w:t xml:space="preserve"> – Please list all diagnoses being treated with the requested drug and corresponding ICD-10 codes. </w:t>
            </w:r>
          </w:p>
          <w:p w14:paraId="54F43A79" w14:textId="35A07384" w:rsidR="006A0AFD" w:rsidRPr="00F773B3" w:rsidRDefault="006A0AFD" w:rsidP="00D07717">
            <w:pPr>
              <w:spacing w:after="120" w:line="259" w:lineRule="auto"/>
              <w:ind w:left="108" w:firstLine="0"/>
              <w:rPr>
                <w:sz w:val="22"/>
              </w:rPr>
            </w:pPr>
            <w:r w:rsidRPr="00F773B3">
              <w:rPr>
                <w:sz w:val="22"/>
              </w:rPr>
              <w:t xml:space="preserve">□ K59.03 </w:t>
            </w:r>
            <w:r w:rsidR="00D62B7C">
              <w:rPr>
                <w:sz w:val="22"/>
              </w:rPr>
              <w:t xml:space="preserve">   </w:t>
            </w:r>
            <w:r w:rsidRPr="00F773B3">
              <w:rPr>
                <w:sz w:val="22"/>
              </w:rPr>
              <w:t>□ _______</w:t>
            </w:r>
          </w:p>
        </w:tc>
      </w:tr>
      <w:tr w:rsidR="008E1E50" w:rsidRPr="00F773B3" w14:paraId="73E73748" w14:textId="77777777" w:rsidTr="0093175A">
        <w:trPr>
          <w:gridAfter w:val="1"/>
          <w:wAfter w:w="47" w:type="dxa"/>
          <w:trHeight w:val="287"/>
        </w:trPr>
        <w:tc>
          <w:tcPr>
            <w:tcW w:w="10843" w:type="dxa"/>
            <w:gridSpan w:val="4"/>
            <w:tcBorders>
              <w:top w:val="single" w:sz="4" w:space="0" w:color="000000"/>
              <w:left w:val="single" w:sz="7" w:space="0" w:color="000000"/>
              <w:bottom w:val="single" w:sz="8" w:space="0" w:color="000000"/>
              <w:right w:val="single" w:sz="4" w:space="0" w:color="000000"/>
            </w:tcBorders>
            <w:shd w:val="clear" w:color="auto" w:fill="FFFFFF" w:themeFill="background1"/>
          </w:tcPr>
          <w:p w14:paraId="270CF09D" w14:textId="77777777" w:rsidR="008E1E50" w:rsidRDefault="008E1E50" w:rsidP="0093175A">
            <w:pPr>
              <w:rPr>
                <w:b/>
                <w:sz w:val="22"/>
              </w:rPr>
            </w:pPr>
            <w:r w:rsidRPr="00F773B3">
              <w:rPr>
                <w:b/>
                <w:sz w:val="22"/>
              </w:rPr>
              <w:t>D</w:t>
            </w:r>
            <w:r w:rsidR="0093175A" w:rsidRPr="00F773B3">
              <w:rPr>
                <w:b/>
                <w:sz w:val="22"/>
              </w:rPr>
              <w:t>rug History</w:t>
            </w:r>
            <w:r w:rsidRPr="00F773B3">
              <w:rPr>
                <w:b/>
                <w:sz w:val="22"/>
              </w:rPr>
              <w:t>: (</w:t>
            </w:r>
            <w:r w:rsidRPr="00F773B3">
              <w:rPr>
                <w:sz w:val="22"/>
              </w:rPr>
              <w:t>for treatment of the condition(s) requiring the requested drug)</w:t>
            </w:r>
            <w:r w:rsidRPr="00F773B3">
              <w:rPr>
                <w:b/>
                <w:sz w:val="22"/>
              </w:rPr>
              <w:t xml:space="preserve"> </w:t>
            </w:r>
          </w:p>
          <w:p w14:paraId="588B5275" w14:textId="70AB5141" w:rsidR="00D62B7C" w:rsidRPr="00F773B3" w:rsidRDefault="00D62B7C" w:rsidP="0093175A">
            <w:pPr>
              <w:rPr>
                <w:sz w:val="22"/>
              </w:rPr>
            </w:pPr>
          </w:p>
        </w:tc>
      </w:tr>
      <w:tr w:rsidR="008E1E50" w:rsidRPr="00F773B3" w14:paraId="3512CAD1" w14:textId="77777777" w:rsidTr="008E1E50">
        <w:trPr>
          <w:gridAfter w:val="1"/>
          <w:wAfter w:w="47" w:type="dxa"/>
          <w:trHeight w:val="579"/>
        </w:trPr>
        <w:tc>
          <w:tcPr>
            <w:tcW w:w="3776" w:type="dxa"/>
            <w:tcBorders>
              <w:top w:val="single" w:sz="8" w:space="0" w:color="000000"/>
              <w:left w:val="single" w:sz="7" w:space="0" w:color="000000"/>
              <w:bottom w:val="single" w:sz="4" w:space="0" w:color="000000"/>
              <w:right w:val="single" w:sz="4" w:space="0" w:color="000000"/>
            </w:tcBorders>
          </w:tcPr>
          <w:p w14:paraId="0840AAC3" w14:textId="2BFFBE1A" w:rsidR="008E1E50" w:rsidRPr="00F773B3" w:rsidRDefault="00405AB5" w:rsidP="00D07717">
            <w:pPr>
              <w:spacing w:after="120" w:line="259" w:lineRule="auto"/>
              <w:ind w:left="14" w:firstLine="0"/>
              <w:jc w:val="center"/>
              <w:rPr>
                <w:sz w:val="22"/>
              </w:rPr>
            </w:pPr>
            <w:r>
              <w:rPr>
                <w:b/>
                <w:sz w:val="22"/>
              </w:rPr>
              <w:t xml:space="preserve">Previous </w:t>
            </w:r>
            <w:r w:rsidR="0093175A" w:rsidRPr="00F773B3">
              <w:rPr>
                <w:b/>
                <w:sz w:val="22"/>
              </w:rPr>
              <w:t>Drug Tried</w:t>
            </w:r>
            <w:r w:rsidR="008E1E50" w:rsidRPr="00F773B3">
              <w:rPr>
                <w:b/>
                <w:sz w:val="22"/>
              </w:rPr>
              <w:t xml:space="preserve"> </w:t>
            </w:r>
          </w:p>
        </w:tc>
        <w:tc>
          <w:tcPr>
            <w:tcW w:w="2626" w:type="dxa"/>
            <w:gridSpan w:val="2"/>
            <w:tcBorders>
              <w:top w:val="single" w:sz="8" w:space="0" w:color="000000"/>
              <w:left w:val="single" w:sz="4" w:space="0" w:color="000000"/>
              <w:bottom w:val="single" w:sz="4" w:space="0" w:color="000000"/>
              <w:right w:val="single" w:sz="4" w:space="0" w:color="000000"/>
            </w:tcBorders>
          </w:tcPr>
          <w:p w14:paraId="33E3BA01" w14:textId="04AC8990" w:rsidR="008E1E50" w:rsidRPr="00F773B3" w:rsidRDefault="008E1E50" w:rsidP="00D07717">
            <w:pPr>
              <w:spacing w:after="120" w:line="259" w:lineRule="auto"/>
              <w:ind w:left="120" w:firstLine="0"/>
              <w:rPr>
                <w:sz w:val="22"/>
              </w:rPr>
            </w:pPr>
            <w:r w:rsidRPr="00F773B3">
              <w:rPr>
                <w:b/>
                <w:sz w:val="22"/>
              </w:rPr>
              <w:t>D</w:t>
            </w:r>
            <w:r w:rsidR="0093175A" w:rsidRPr="00F773B3">
              <w:rPr>
                <w:b/>
                <w:sz w:val="22"/>
              </w:rPr>
              <w:t>ates</w:t>
            </w:r>
            <w:r w:rsidRPr="00F773B3">
              <w:rPr>
                <w:b/>
                <w:sz w:val="22"/>
              </w:rPr>
              <w:t xml:space="preserve"> of Drug Trials </w:t>
            </w:r>
          </w:p>
        </w:tc>
        <w:tc>
          <w:tcPr>
            <w:tcW w:w="4441" w:type="dxa"/>
            <w:tcBorders>
              <w:top w:val="single" w:sz="8" w:space="0" w:color="000000"/>
              <w:left w:val="single" w:sz="4" w:space="0" w:color="000000"/>
              <w:bottom w:val="single" w:sz="4" w:space="0" w:color="000000"/>
              <w:right w:val="single" w:sz="4" w:space="0" w:color="000000"/>
            </w:tcBorders>
          </w:tcPr>
          <w:p w14:paraId="426396EC" w14:textId="4D4745F3" w:rsidR="008E1E50" w:rsidRPr="00F773B3" w:rsidRDefault="008E1E50" w:rsidP="00D07717">
            <w:pPr>
              <w:spacing w:after="120" w:line="259" w:lineRule="auto"/>
              <w:ind w:left="5" w:firstLine="0"/>
              <w:jc w:val="center"/>
              <w:rPr>
                <w:b/>
                <w:sz w:val="22"/>
              </w:rPr>
            </w:pPr>
            <w:r w:rsidRPr="00F773B3">
              <w:rPr>
                <w:b/>
                <w:sz w:val="22"/>
              </w:rPr>
              <w:t>R</w:t>
            </w:r>
            <w:r w:rsidR="0093175A" w:rsidRPr="00F773B3">
              <w:rPr>
                <w:b/>
                <w:sz w:val="22"/>
              </w:rPr>
              <w:t>esults</w:t>
            </w:r>
            <w:r w:rsidRPr="00F773B3">
              <w:rPr>
                <w:b/>
                <w:sz w:val="22"/>
              </w:rPr>
              <w:t xml:space="preserve"> of previous drug trials</w:t>
            </w:r>
          </w:p>
          <w:p w14:paraId="01A1BE6B" w14:textId="77777777" w:rsidR="008E1E50" w:rsidRPr="00F773B3" w:rsidRDefault="008E1E50" w:rsidP="00D07717">
            <w:pPr>
              <w:spacing w:after="120" w:line="259" w:lineRule="auto"/>
              <w:rPr>
                <w:sz w:val="22"/>
              </w:rPr>
            </w:pPr>
          </w:p>
        </w:tc>
      </w:tr>
    </w:tbl>
    <w:p w14:paraId="093F6279" w14:textId="2284C92A" w:rsidR="009970AE" w:rsidRPr="00F773B3" w:rsidRDefault="00AE5F06" w:rsidP="0093175A">
      <w:pPr>
        <w:spacing w:after="120"/>
        <w:ind w:left="0" w:firstLine="0"/>
        <w:rPr>
          <w:sz w:val="22"/>
        </w:rPr>
      </w:pPr>
      <w:r w:rsidRPr="00F773B3">
        <w:rPr>
          <w:sz w:val="22"/>
        </w:rPr>
        <w:br w:type="page"/>
      </w:r>
    </w:p>
    <w:tbl>
      <w:tblPr>
        <w:tblStyle w:val="TableGrid"/>
        <w:tblW w:w="10800" w:type="dxa"/>
        <w:tblInd w:w="-95" w:type="dxa"/>
        <w:tblLook w:val="04A0" w:firstRow="1" w:lastRow="0" w:firstColumn="1" w:lastColumn="0" w:noHBand="0" w:noVBand="1"/>
      </w:tblPr>
      <w:tblGrid>
        <w:gridCol w:w="11022"/>
      </w:tblGrid>
      <w:tr w:rsidR="001F459F" w:rsidRPr="00F773B3" w14:paraId="52C54347" w14:textId="77777777" w:rsidTr="0093175A">
        <w:trPr>
          <w:trHeight w:val="289"/>
        </w:trPr>
        <w:tc>
          <w:tcPr>
            <w:tcW w:w="108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CEEF76" w14:textId="7CB0AA36" w:rsidR="001F459F" w:rsidRPr="000A166A" w:rsidRDefault="00B8234F" w:rsidP="000A166A">
            <w:pPr>
              <w:spacing w:after="120" w:line="259" w:lineRule="auto"/>
              <w:ind w:left="107" w:firstLine="0"/>
              <w:jc w:val="both"/>
              <w:rPr>
                <w:b/>
                <w:sz w:val="22"/>
              </w:rPr>
            </w:pPr>
            <w:r>
              <w:rPr>
                <w:b/>
                <w:sz w:val="22"/>
              </w:rPr>
              <w:lastRenderedPageBreak/>
              <w:t xml:space="preserve">CLINICAL </w:t>
            </w:r>
            <w:r w:rsidR="00405AB5">
              <w:rPr>
                <w:b/>
                <w:sz w:val="22"/>
              </w:rPr>
              <w:t>RATIONALE</w:t>
            </w:r>
            <w:r w:rsidR="006E37C4" w:rsidRPr="00F773B3">
              <w:rPr>
                <w:b/>
                <w:sz w:val="22"/>
              </w:rPr>
              <w:t xml:space="preserve"> FOR </w:t>
            </w:r>
            <w:r w:rsidR="00405AB5">
              <w:rPr>
                <w:b/>
                <w:sz w:val="22"/>
              </w:rPr>
              <w:t>MEDICAL NECESSITY</w:t>
            </w:r>
          </w:p>
        </w:tc>
      </w:tr>
      <w:tr w:rsidR="008E1E50" w:rsidRPr="00F773B3" w14:paraId="51F5A27B" w14:textId="77777777" w:rsidTr="00702651">
        <w:trPr>
          <w:trHeight w:val="10947"/>
        </w:trPr>
        <w:tc>
          <w:tcPr>
            <w:tcW w:w="10800" w:type="dxa"/>
            <w:tcBorders>
              <w:top w:val="single" w:sz="4" w:space="0" w:color="000000"/>
              <w:left w:val="single" w:sz="4" w:space="0" w:color="000000"/>
              <w:right w:val="single" w:sz="4" w:space="0" w:color="000000"/>
            </w:tcBorders>
          </w:tcPr>
          <w:p w14:paraId="74B2EA95" w14:textId="207EC48B" w:rsidR="008E1E50" w:rsidRDefault="008E1E50" w:rsidP="00613947">
            <w:pPr>
              <w:spacing w:after="120" w:line="248" w:lineRule="auto"/>
              <w:ind w:left="107" w:right="121" w:firstLine="0"/>
              <w:jc w:val="both"/>
              <w:rPr>
                <w:sz w:val="22"/>
              </w:rPr>
            </w:pPr>
            <w:r w:rsidRPr="00F773B3">
              <w:rPr>
                <w:rFonts w:ascii="Segoe UI Symbol" w:eastAsia="Times New Roman" w:hAnsi="Segoe UI Symbol" w:cs="Segoe UI Symbol"/>
                <w:sz w:val="22"/>
              </w:rPr>
              <w:t>☐</w:t>
            </w:r>
            <w:r w:rsidRPr="00F773B3">
              <w:rPr>
                <w:rFonts w:eastAsia="Times New Roman"/>
                <w:sz w:val="22"/>
              </w:rPr>
              <w:t xml:space="preserve"> </w:t>
            </w:r>
            <w:r w:rsidRPr="00F773B3">
              <w:rPr>
                <w:b/>
                <w:sz w:val="22"/>
              </w:rPr>
              <w:t>Alternate drug(s) contraindicated or previously tried, but with adverse outcome, e.g. toxicity, allergy, or therapeutic failure</w:t>
            </w:r>
            <w:r w:rsidR="00E70E06">
              <w:rPr>
                <w:b/>
                <w:sz w:val="22"/>
              </w:rPr>
              <w:t>.</w:t>
            </w:r>
            <w:r w:rsidRPr="00F773B3">
              <w:rPr>
                <w:sz w:val="22"/>
              </w:rPr>
              <w:t xml:space="preserve"> </w:t>
            </w:r>
          </w:p>
          <w:p w14:paraId="47D103AE" w14:textId="1CB10F23" w:rsidR="000A166A" w:rsidRPr="00F773B3" w:rsidRDefault="000A166A" w:rsidP="00613947">
            <w:pPr>
              <w:spacing w:after="120" w:line="248" w:lineRule="auto"/>
              <w:ind w:left="107" w:right="121" w:firstLine="0"/>
              <w:jc w:val="both"/>
              <w:rPr>
                <w:sz w:val="22"/>
              </w:rPr>
            </w:pPr>
            <w:r>
              <w:rPr>
                <w:sz w:val="22"/>
              </w:rPr>
              <w:t>________________________________________________________________________________________ ________________________________________________________________________________________ ________________________________________________________________________________________</w:t>
            </w:r>
          </w:p>
          <w:p w14:paraId="0EDE56A2" w14:textId="50347F2B" w:rsidR="008E1E50" w:rsidRPr="00F773B3" w:rsidRDefault="008E1E50" w:rsidP="00613947">
            <w:pPr>
              <w:spacing w:after="120"/>
              <w:ind w:left="107" w:right="121" w:firstLine="0"/>
              <w:jc w:val="both"/>
              <w:rPr>
                <w:sz w:val="22"/>
              </w:rPr>
            </w:pPr>
            <w:r w:rsidRPr="00F773B3">
              <w:rPr>
                <w:rFonts w:ascii="Segoe UI Symbol" w:eastAsia="Times New Roman" w:hAnsi="Segoe UI Symbol" w:cs="Segoe UI Symbol"/>
                <w:sz w:val="22"/>
              </w:rPr>
              <w:t>☐</w:t>
            </w:r>
            <w:r w:rsidRPr="00F773B3">
              <w:rPr>
                <w:rFonts w:eastAsia="Times New Roman"/>
                <w:sz w:val="22"/>
              </w:rPr>
              <w:t xml:space="preserve"> </w:t>
            </w:r>
            <w:r w:rsidRPr="00F773B3">
              <w:rPr>
                <w:b/>
                <w:sz w:val="22"/>
              </w:rPr>
              <w:t>Patient is stable on current drug(s</w:t>
            </w:r>
            <w:proofErr w:type="gramStart"/>
            <w:r w:rsidRPr="00F773B3">
              <w:rPr>
                <w:b/>
                <w:sz w:val="22"/>
              </w:rPr>
              <w:t>);</w:t>
            </w:r>
            <w:proofErr w:type="gramEnd"/>
            <w:r w:rsidRPr="00F773B3">
              <w:rPr>
                <w:b/>
                <w:sz w:val="22"/>
              </w:rPr>
              <w:t xml:space="preserve"> high risk of significant adverse clinical outcome with medication change</w:t>
            </w:r>
            <w:r w:rsidR="00E70E06">
              <w:rPr>
                <w:b/>
                <w:sz w:val="22"/>
              </w:rPr>
              <w:t>.</w:t>
            </w:r>
            <w:r w:rsidRPr="00F773B3">
              <w:rPr>
                <w:sz w:val="22"/>
              </w:rPr>
              <w:t xml:space="preserve"> </w:t>
            </w:r>
          </w:p>
          <w:p w14:paraId="2043F684" w14:textId="77777777" w:rsidR="008E1E50" w:rsidRPr="00F773B3" w:rsidRDefault="008E1E50" w:rsidP="008E1E50">
            <w:pPr>
              <w:spacing w:after="120" w:line="270" w:lineRule="auto"/>
              <w:ind w:left="107" w:right="138" w:firstLine="0"/>
              <w:jc w:val="both"/>
              <w:rPr>
                <w:b/>
                <w:bCs/>
                <w:sz w:val="22"/>
              </w:rPr>
            </w:pPr>
            <w:r w:rsidRPr="00F773B3">
              <w:rPr>
                <w:rFonts w:ascii="Segoe UI Symbol" w:eastAsia="Times New Roman" w:hAnsi="Segoe UI Symbol" w:cs="Segoe UI Symbol"/>
                <w:sz w:val="22"/>
              </w:rPr>
              <w:t>☐</w:t>
            </w:r>
            <w:r w:rsidRPr="00F773B3">
              <w:rPr>
                <w:rFonts w:eastAsia="Times New Roman"/>
                <w:sz w:val="22"/>
              </w:rPr>
              <w:t xml:space="preserve"> </w:t>
            </w:r>
            <w:r w:rsidRPr="00F773B3">
              <w:rPr>
                <w:b/>
                <w:bCs/>
                <w:sz w:val="22"/>
              </w:rPr>
              <w:t>RELISTOR does not have any pharmacokinetic drug-drug interactions– Only Peripherally Acting Mu Opioid Receptor Antagonist that is not metabolized through the CYP3A4 pathway.</w:t>
            </w:r>
          </w:p>
          <w:p w14:paraId="5525F71F" w14:textId="14F53C78" w:rsidR="008E1E50" w:rsidRPr="00F773B3" w:rsidRDefault="008E1E50" w:rsidP="008E1E50">
            <w:pPr>
              <w:pStyle w:val="ListParagraph"/>
              <w:numPr>
                <w:ilvl w:val="0"/>
                <w:numId w:val="1"/>
              </w:numPr>
              <w:spacing w:after="176" w:line="270" w:lineRule="auto"/>
              <w:ind w:right="138"/>
              <w:rPr>
                <w:sz w:val="22"/>
              </w:rPr>
            </w:pPr>
            <w:r w:rsidRPr="00F773B3">
              <w:rPr>
                <w:sz w:val="22"/>
              </w:rPr>
              <w:t xml:space="preserve">No studied drug interactions with moderate CYP3A4 inhibitors (e.g. diltiazem, erythromycin, verapamil – common brand names: Cardizem®, Erythrocin®, </w:t>
            </w:r>
            <w:proofErr w:type="spellStart"/>
            <w:r w:rsidRPr="00F773B3">
              <w:rPr>
                <w:sz w:val="22"/>
              </w:rPr>
              <w:t>Isoptin</w:t>
            </w:r>
            <w:proofErr w:type="spellEnd"/>
            <w:r w:rsidRPr="00F773B3">
              <w:rPr>
                <w:sz w:val="22"/>
              </w:rPr>
              <w:t>® SR</w:t>
            </w:r>
            <w:r w:rsidR="005D5753">
              <w:rPr>
                <w:sz w:val="22"/>
              </w:rPr>
              <w:t>)</w:t>
            </w:r>
          </w:p>
          <w:p w14:paraId="2C864A83" w14:textId="77777777" w:rsidR="008E1E50" w:rsidRPr="00F773B3" w:rsidRDefault="008E1E50" w:rsidP="008E1E50">
            <w:pPr>
              <w:pStyle w:val="ListParagraph"/>
              <w:numPr>
                <w:ilvl w:val="0"/>
                <w:numId w:val="1"/>
              </w:numPr>
              <w:spacing w:after="176" w:line="270" w:lineRule="auto"/>
              <w:ind w:right="138"/>
              <w:rPr>
                <w:sz w:val="22"/>
              </w:rPr>
            </w:pPr>
            <w:r w:rsidRPr="00F773B3">
              <w:rPr>
                <w:sz w:val="22"/>
              </w:rPr>
              <w:t xml:space="preserve">No studied drug interactions with strong CYP3A4 inhibitors (e.g. ketoconazole, itraconazole, clarithromycin – common brand names: Nizoral®, </w:t>
            </w:r>
            <w:proofErr w:type="spellStart"/>
            <w:r w:rsidRPr="00F773B3">
              <w:rPr>
                <w:sz w:val="22"/>
              </w:rPr>
              <w:t>Sporanox</w:t>
            </w:r>
            <w:proofErr w:type="spellEnd"/>
            <w:r w:rsidRPr="00F773B3">
              <w:rPr>
                <w:sz w:val="22"/>
              </w:rPr>
              <w:t>®, Biaxin®)</w:t>
            </w:r>
          </w:p>
          <w:p w14:paraId="36E54CCC" w14:textId="77777777" w:rsidR="008E1E50" w:rsidRPr="00F773B3" w:rsidRDefault="008E1E50" w:rsidP="008E1E50">
            <w:pPr>
              <w:pStyle w:val="ListParagraph"/>
              <w:numPr>
                <w:ilvl w:val="0"/>
                <w:numId w:val="1"/>
              </w:numPr>
              <w:spacing w:after="176" w:line="270" w:lineRule="auto"/>
              <w:ind w:right="138"/>
              <w:rPr>
                <w:sz w:val="22"/>
              </w:rPr>
            </w:pPr>
            <w:r w:rsidRPr="00F773B3">
              <w:rPr>
                <w:sz w:val="22"/>
              </w:rPr>
              <w:t xml:space="preserve">No studied drug interactions with moderate CYP3A4 inducers (e.g. nafcillin, bexarotene, dexamethasone – common brand names: </w:t>
            </w:r>
            <w:proofErr w:type="spellStart"/>
            <w:r w:rsidRPr="00F773B3">
              <w:rPr>
                <w:sz w:val="22"/>
              </w:rPr>
              <w:t>Nallpen</w:t>
            </w:r>
            <w:proofErr w:type="spellEnd"/>
            <w:r w:rsidRPr="00F773B3">
              <w:rPr>
                <w:sz w:val="22"/>
              </w:rPr>
              <w:t xml:space="preserve">®, Targretin®, </w:t>
            </w:r>
            <w:proofErr w:type="spellStart"/>
            <w:r w:rsidRPr="00F773B3">
              <w:rPr>
                <w:sz w:val="22"/>
              </w:rPr>
              <w:t>Hemady</w:t>
            </w:r>
            <w:proofErr w:type="spellEnd"/>
            <w:r w:rsidRPr="00F773B3">
              <w:rPr>
                <w:sz w:val="22"/>
              </w:rPr>
              <w:t>®)</w:t>
            </w:r>
          </w:p>
          <w:p w14:paraId="15BFF359" w14:textId="5888D3C4" w:rsidR="008E1E50" w:rsidRPr="00F773B3" w:rsidRDefault="008E1E50" w:rsidP="008E1E50">
            <w:pPr>
              <w:pStyle w:val="ListParagraph"/>
              <w:numPr>
                <w:ilvl w:val="0"/>
                <w:numId w:val="1"/>
              </w:numPr>
              <w:spacing w:after="176" w:line="270" w:lineRule="auto"/>
              <w:ind w:right="138"/>
              <w:rPr>
                <w:sz w:val="22"/>
              </w:rPr>
            </w:pPr>
            <w:r w:rsidRPr="00F773B3">
              <w:rPr>
                <w:sz w:val="22"/>
              </w:rPr>
              <w:t xml:space="preserve">No studied drug interactions with strong CYP3A4 inducers (e.g. rifampin, carbamazepine, St. John’s Wort – common brand names: </w:t>
            </w:r>
            <w:proofErr w:type="spellStart"/>
            <w:r w:rsidRPr="00F773B3">
              <w:rPr>
                <w:sz w:val="22"/>
              </w:rPr>
              <w:t>Rifadin</w:t>
            </w:r>
            <w:proofErr w:type="spellEnd"/>
            <w:r w:rsidRPr="00F773B3">
              <w:rPr>
                <w:sz w:val="22"/>
              </w:rPr>
              <w:t>®, Tegretol®)</w:t>
            </w:r>
          </w:p>
          <w:p w14:paraId="7FE74A83" w14:textId="77777777" w:rsidR="008E1E50" w:rsidRDefault="008E1E50" w:rsidP="008E1E50">
            <w:pPr>
              <w:pStyle w:val="ListParagraph"/>
              <w:numPr>
                <w:ilvl w:val="0"/>
                <w:numId w:val="1"/>
              </w:numPr>
              <w:spacing w:after="176" w:line="270" w:lineRule="auto"/>
              <w:ind w:right="138"/>
              <w:rPr>
                <w:sz w:val="22"/>
              </w:rPr>
            </w:pPr>
            <w:r w:rsidRPr="00F773B3">
              <w:rPr>
                <w:sz w:val="22"/>
              </w:rPr>
              <w:t>No studied interactions with grapefruit or grapefruit juice (potential CYP3A4 inhibitor)</w:t>
            </w:r>
          </w:p>
          <w:p w14:paraId="3B205CB5" w14:textId="46213465" w:rsidR="00232FA1" w:rsidRPr="00232FA1" w:rsidRDefault="00232FA1" w:rsidP="00232FA1">
            <w:pPr>
              <w:spacing w:after="176" w:line="270" w:lineRule="auto"/>
              <w:ind w:right="138"/>
              <w:rPr>
                <w:sz w:val="22"/>
              </w:rPr>
            </w:pPr>
            <w:r>
              <w:rPr>
                <w:sz w:val="22"/>
              </w:rPr>
              <w:t>Patient Is Currently Taking A CYP3A4 Inducer/Inhibitor (List Below): ________________________________ _______________________________________________________________________________________ _______________________________________________________________________________________</w:t>
            </w:r>
          </w:p>
          <w:p w14:paraId="79423826" w14:textId="13981F2B" w:rsidR="008E1E50" w:rsidRPr="00F773B3" w:rsidRDefault="008E1E50" w:rsidP="008E1E50">
            <w:pPr>
              <w:spacing w:after="120" w:line="270" w:lineRule="auto"/>
              <w:ind w:left="107" w:right="138"/>
              <w:rPr>
                <w:sz w:val="22"/>
              </w:rPr>
            </w:pPr>
            <w:r w:rsidRPr="00F773B3">
              <w:rPr>
                <w:rFonts w:ascii="Segoe UI Symbol" w:eastAsia="Times New Roman" w:hAnsi="Segoe UI Symbol" w:cs="Segoe UI Symbol"/>
                <w:sz w:val="22"/>
              </w:rPr>
              <w:t>☐</w:t>
            </w:r>
            <w:r w:rsidRPr="00F773B3">
              <w:rPr>
                <w:rFonts w:eastAsia="Times New Roman"/>
                <w:sz w:val="22"/>
              </w:rPr>
              <w:t xml:space="preserve"> </w:t>
            </w:r>
            <w:r w:rsidRPr="00F773B3">
              <w:rPr>
                <w:bCs/>
                <w:sz w:val="22"/>
              </w:rPr>
              <w:t>RELISTOR Subcutaneous Injection -</w:t>
            </w:r>
            <w:r w:rsidRPr="00F773B3">
              <w:rPr>
                <w:sz w:val="22"/>
              </w:rPr>
              <w:t xml:space="preserve"> </w:t>
            </w:r>
            <w:r w:rsidRPr="00F773B3">
              <w:rPr>
                <w:b/>
                <w:bCs/>
                <w:sz w:val="22"/>
              </w:rPr>
              <w:t>RELISTOR is the only Peripherally Acting Mu Opioid Receptor Antagonist in subcutaneous injection formulation. RELISTOR subcutaneous injection is the only Peripherally Acting Mu Opioid Receptor Antagonist indicated in adults with advanced illness or pain caused by active cancer</w:t>
            </w:r>
            <w:r w:rsidR="00167333">
              <w:rPr>
                <w:b/>
                <w:bCs/>
                <w:sz w:val="22"/>
              </w:rPr>
              <w:t xml:space="preserve"> who require opioid dosage escalation for </w:t>
            </w:r>
            <w:r w:rsidR="00C544B9">
              <w:rPr>
                <w:b/>
                <w:bCs/>
                <w:sz w:val="22"/>
              </w:rPr>
              <w:t>palliative care.</w:t>
            </w:r>
          </w:p>
          <w:p w14:paraId="39D2C445" w14:textId="4843C7BB" w:rsidR="00F26646" w:rsidRPr="00F773B3" w:rsidRDefault="008E1E50" w:rsidP="00F26646">
            <w:pPr>
              <w:spacing w:after="120" w:line="270" w:lineRule="auto"/>
              <w:ind w:left="0" w:right="138" w:firstLine="0"/>
              <w:jc w:val="both"/>
              <w:rPr>
                <w:bCs/>
                <w:color w:val="auto"/>
                <w:sz w:val="22"/>
              </w:rPr>
            </w:pPr>
            <w:r w:rsidRPr="00F773B3">
              <w:rPr>
                <w:sz w:val="22"/>
              </w:rPr>
              <w:t xml:space="preserve"> Based on the </w:t>
            </w:r>
            <w:r w:rsidR="00B8234F">
              <w:rPr>
                <w:sz w:val="22"/>
              </w:rPr>
              <w:t>information provided</w:t>
            </w:r>
            <w:r w:rsidRPr="00F773B3">
              <w:rPr>
                <w:sz w:val="22"/>
              </w:rPr>
              <w:t>,</w:t>
            </w:r>
            <w:r w:rsidR="00093395">
              <w:rPr>
                <w:sz w:val="22"/>
              </w:rPr>
              <w:t xml:space="preserve"> I believe</w:t>
            </w:r>
            <w:r w:rsidRPr="00F773B3">
              <w:rPr>
                <w:sz w:val="22"/>
              </w:rPr>
              <w:t xml:space="preserve"> </w:t>
            </w:r>
            <w:r w:rsidR="00093395">
              <w:rPr>
                <w:sz w:val="22"/>
              </w:rPr>
              <w:t>that</w:t>
            </w:r>
            <w:r w:rsidR="006F1829">
              <w:rPr>
                <w:sz w:val="22"/>
              </w:rPr>
              <w:t xml:space="preserve"> </w:t>
            </w:r>
            <w:r w:rsidRPr="00F773B3">
              <w:rPr>
                <w:rFonts w:eastAsia="Times New Roman"/>
                <w:color w:val="auto"/>
                <w:kern w:val="0"/>
                <w:sz w:val="22"/>
                <w14:ligatures w14:val="none"/>
              </w:rPr>
              <w:t>RELISTOR</w:t>
            </w:r>
            <w:r w:rsidRPr="00F773B3">
              <w:rPr>
                <w:rFonts w:eastAsia="Times New Roman"/>
                <w:color w:val="auto"/>
                <w:kern w:val="0"/>
                <w:sz w:val="22"/>
                <w:bdr w:val="none" w:sz="0" w:space="0" w:color="auto" w:frame="1"/>
                <w:vertAlign w:val="superscript"/>
                <w14:ligatures w14:val="none"/>
              </w:rPr>
              <w:t>®</w:t>
            </w:r>
            <w:r w:rsidRPr="00F773B3">
              <w:rPr>
                <w:rFonts w:eastAsia="Times New Roman"/>
                <w:color w:val="auto"/>
                <w:kern w:val="0"/>
                <w:sz w:val="22"/>
                <w14:ligatures w14:val="none"/>
              </w:rPr>
              <w:t xml:space="preserve"> (methylnaltrexone bromide) is </w:t>
            </w:r>
            <w:r w:rsidR="00093395">
              <w:rPr>
                <w:rFonts w:eastAsia="Times New Roman"/>
                <w:color w:val="auto"/>
                <w:kern w:val="0"/>
                <w:sz w:val="22"/>
                <w14:ligatures w14:val="none"/>
              </w:rPr>
              <w:t xml:space="preserve">medically necessary </w:t>
            </w:r>
            <w:r w:rsidRPr="00F773B3">
              <w:rPr>
                <w:rFonts w:eastAsia="Times New Roman"/>
                <w:color w:val="auto"/>
                <w:kern w:val="0"/>
                <w:sz w:val="22"/>
                <w14:ligatures w14:val="none"/>
              </w:rPr>
              <w:t xml:space="preserve">for my patient. </w:t>
            </w:r>
            <w:r w:rsidR="005722C0">
              <w:rPr>
                <w:rFonts w:eastAsia="Times New Roman"/>
                <w:color w:val="auto"/>
                <w:kern w:val="0"/>
                <w:sz w:val="22"/>
                <w14:ligatures w14:val="none"/>
              </w:rPr>
              <w:t xml:space="preserve">Please find attached the additional documents that support my </w:t>
            </w:r>
            <w:r w:rsidR="00820A4F">
              <w:rPr>
                <w:rFonts w:eastAsia="Times New Roman"/>
                <w:color w:val="auto"/>
                <w:kern w:val="0"/>
                <w:sz w:val="22"/>
                <w14:ligatures w14:val="none"/>
              </w:rPr>
              <w:t>clinical</w:t>
            </w:r>
            <w:r w:rsidR="005722C0">
              <w:rPr>
                <w:rFonts w:eastAsia="Times New Roman"/>
                <w:color w:val="auto"/>
                <w:kern w:val="0"/>
                <w:sz w:val="22"/>
                <w14:ligatures w14:val="none"/>
              </w:rPr>
              <w:t xml:space="preserve"> decision</w:t>
            </w:r>
            <w:r w:rsidR="00820A4F">
              <w:rPr>
                <w:rFonts w:eastAsia="Times New Roman"/>
                <w:color w:val="auto"/>
                <w:kern w:val="0"/>
                <w:sz w:val="22"/>
                <w14:ligatures w14:val="none"/>
              </w:rPr>
              <w:t>.</w:t>
            </w:r>
            <w:r w:rsidR="00820A4F" w:rsidRPr="00F773B3">
              <w:rPr>
                <w:sz w:val="22"/>
              </w:rPr>
              <w:t xml:space="preserve"> </w:t>
            </w:r>
            <w:r w:rsidR="00820A4F">
              <w:rPr>
                <w:sz w:val="22"/>
              </w:rPr>
              <w:t>If you need</w:t>
            </w:r>
            <w:r w:rsidR="00F26646">
              <w:rPr>
                <w:sz w:val="22"/>
              </w:rPr>
              <w:t xml:space="preserve"> </w:t>
            </w:r>
            <w:r w:rsidR="00820A4F">
              <w:rPr>
                <w:sz w:val="22"/>
              </w:rPr>
              <w:t>additional information</w:t>
            </w:r>
            <w:r w:rsidR="00F26646">
              <w:rPr>
                <w:sz w:val="22"/>
              </w:rPr>
              <w:t xml:space="preserve"> for a timely approval</w:t>
            </w:r>
            <w:r w:rsidR="00820A4F">
              <w:rPr>
                <w:sz w:val="22"/>
              </w:rPr>
              <w:t>, p</w:t>
            </w:r>
            <w:r w:rsidR="00820A4F" w:rsidRPr="00F773B3">
              <w:rPr>
                <w:sz w:val="22"/>
              </w:rPr>
              <w:t xml:space="preserve">lease contact me at </w:t>
            </w:r>
            <w:r w:rsidR="00896593" w:rsidRPr="00896593">
              <w:rPr>
                <w:bCs/>
                <w:color w:val="000000" w:themeColor="text1"/>
                <w:sz w:val="22"/>
              </w:rPr>
              <w:t>&lt;</w:t>
            </w:r>
            <w:r w:rsidR="00896593" w:rsidRPr="00896593">
              <w:rPr>
                <w:bCs/>
                <w:color w:val="2F5496" w:themeColor="accent1" w:themeShade="BF"/>
                <w:sz w:val="22"/>
              </w:rPr>
              <w:t>Insert Phone Number</w:t>
            </w:r>
            <w:r w:rsidR="00896593" w:rsidRPr="00896593">
              <w:rPr>
                <w:bCs/>
                <w:color w:val="000000" w:themeColor="text1"/>
                <w:sz w:val="22"/>
              </w:rPr>
              <w:t>&gt;</w:t>
            </w:r>
          </w:p>
          <w:p w14:paraId="1D3D1460" w14:textId="77777777" w:rsidR="008E1E50" w:rsidRPr="00F773B3" w:rsidRDefault="008E1E50" w:rsidP="00F26646">
            <w:pPr>
              <w:spacing w:after="120" w:line="270" w:lineRule="auto"/>
              <w:ind w:left="0" w:right="138" w:firstLine="0"/>
              <w:jc w:val="both"/>
              <w:rPr>
                <w:bCs/>
                <w:sz w:val="22"/>
              </w:rPr>
            </w:pPr>
            <w:r w:rsidRPr="00F773B3">
              <w:rPr>
                <w:bCs/>
                <w:sz w:val="22"/>
              </w:rPr>
              <w:t xml:space="preserve">Sincerely </w:t>
            </w:r>
          </w:p>
          <w:p w14:paraId="4B4362E4" w14:textId="3EC8BBF4" w:rsidR="008E1E50" w:rsidRPr="00F773B3" w:rsidRDefault="00896593" w:rsidP="000546E5">
            <w:pPr>
              <w:spacing w:after="120" w:line="270" w:lineRule="auto"/>
              <w:ind w:left="107" w:right="138" w:firstLine="0"/>
              <w:jc w:val="both"/>
              <w:rPr>
                <w:b/>
                <w:color w:val="FF66CC"/>
                <w:sz w:val="22"/>
              </w:rPr>
            </w:pPr>
            <w:r w:rsidRPr="00896593">
              <w:rPr>
                <w:bCs/>
                <w:color w:val="000000" w:themeColor="text1"/>
                <w:sz w:val="22"/>
              </w:rPr>
              <w:t>&lt;</w:t>
            </w:r>
            <w:r w:rsidRPr="00896593">
              <w:rPr>
                <w:bCs/>
                <w:color w:val="2F5496" w:themeColor="accent1" w:themeShade="BF"/>
                <w:sz w:val="22"/>
              </w:rPr>
              <w:t>Insert Healthcare Provider Name</w:t>
            </w:r>
            <w:r w:rsidRPr="00896593">
              <w:rPr>
                <w:bCs/>
                <w:color w:val="000000" w:themeColor="text1"/>
                <w:sz w:val="22"/>
              </w:rPr>
              <w:t>&gt;</w:t>
            </w:r>
          </w:p>
          <w:p w14:paraId="6CAC8480" w14:textId="472D80C2" w:rsidR="008E1E50" w:rsidRDefault="00896593" w:rsidP="0093175A">
            <w:pPr>
              <w:spacing w:after="120" w:line="270" w:lineRule="auto"/>
              <w:ind w:left="107" w:right="138" w:firstLine="0"/>
              <w:jc w:val="both"/>
              <w:rPr>
                <w:b/>
                <w:color w:val="FF66CC"/>
                <w:sz w:val="22"/>
              </w:rPr>
            </w:pPr>
            <w:r w:rsidRPr="00896593">
              <w:rPr>
                <w:bCs/>
                <w:color w:val="000000" w:themeColor="text1"/>
                <w:sz w:val="22"/>
              </w:rPr>
              <w:t>&lt;</w:t>
            </w:r>
            <w:r w:rsidRPr="00896593">
              <w:rPr>
                <w:bCs/>
                <w:color w:val="2F5496" w:themeColor="accent1" w:themeShade="BF"/>
                <w:sz w:val="22"/>
              </w:rPr>
              <w:t>Insert Signature</w:t>
            </w:r>
            <w:r w:rsidRPr="00896593">
              <w:rPr>
                <w:bCs/>
                <w:color w:val="000000" w:themeColor="text1"/>
                <w:sz w:val="22"/>
              </w:rPr>
              <w:t>&gt;</w:t>
            </w:r>
          </w:p>
          <w:p w14:paraId="61BBDFB9" w14:textId="526BFAB9" w:rsidR="00B90952" w:rsidRDefault="00B90952" w:rsidP="0093175A">
            <w:pPr>
              <w:spacing w:after="120" w:line="270" w:lineRule="auto"/>
              <w:ind w:left="107" w:right="138" w:firstLine="0"/>
              <w:jc w:val="both"/>
              <w:rPr>
                <w:sz w:val="22"/>
              </w:rPr>
            </w:pPr>
            <w:r w:rsidRPr="006F1829">
              <w:rPr>
                <w:b/>
                <w:bCs/>
                <w:sz w:val="22"/>
              </w:rPr>
              <w:t>Enclosures:</w:t>
            </w:r>
            <w:r w:rsidR="00945E59">
              <w:rPr>
                <w:sz w:val="22"/>
              </w:rPr>
              <w:t xml:space="preserve"> </w:t>
            </w:r>
            <w:r w:rsidR="006F1829">
              <w:rPr>
                <w:sz w:val="22"/>
              </w:rPr>
              <w:t>Consider i</w:t>
            </w:r>
            <w:r w:rsidR="00945E59">
              <w:rPr>
                <w:sz w:val="22"/>
              </w:rPr>
              <w:t>nclud</w:t>
            </w:r>
            <w:r w:rsidR="006F1829">
              <w:rPr>
                <w:sz w:val="22"/>
              </w:rPr>
              <w:t>ing</w:t>
            </w:r>
            <w:r w:rsidR="00945E59">
              <w:rPr>
                <w:sz w:val="22"/>
              </w:rPr>
              <w:t xml:space="preserve"> </w:t>
            </w:r>
            <w:r w:rsidR="0078162E">
              <w:rPr>
                <w:sz w:val="22"/>
              </w:rPr>
              <w:t>patient medical history</w:t>
            </w:r>
            <w:r w:rsidR="0051656D">
              <w:rPr>
                <w:sz w:val="22"/>
              </w:rPr>
              <w:t>, relevant state therapy</w:t>
            </w:r>
            <w:r w:rsidR="00AF1AE6">
              <w:rPr>
                <w:sz w:val="22"/>
              </w:rPr>
              <w:t xml:space="preserve"> legislation,</w:t>
            </w:r>
            <w:r w:rsidR="006F1829">
              <w:rPr>
                <w:sz w:val="22"/>
              </w:rPr>
              <w:t xml:space="preserve"> notes and </w:t>
            </w:r>
            <w:r w:rsidR="00945E59">
              <w:rPr>
                <w:sz w:val="22"/>
              </w:rPr>
              <w:t xml:space="preserve">product prescribing information which can be found at </w:t>
            </w:r>
            <w:hyperlink r:id="rId5" w:history="1">
              <w:r w:rsidR="00C67F51" w:rsidRPr="00690003">
                <w:rPr>
                  <w:rStyle w:val="Hyperlink"/>
                  <w:sz w:val="22"/>
                </w:rPr>
                <w:t>www.relistorhcp.com</w:t>
              </w:r>
            </w:hyperlink>
            <w:r w:rsidR="00C67F51">
              <w:rPr>
                <w:sz w:val="22"/>
              </w:rPr>
              <w:t xml:space="preserve"> </w:t>
            </w:r>
          </w:p>
          <w:p w14:paraId="006F895F" w14:textId="054CB7B1" w:rsidR="00327DC0" w:rsidRPr="00F773B3" w:rsidRDefault="004A4D93" w:rsidP="008B4A23">
            <w:pPr>
              <w:pStyle w:val="BodyText"/>
              <w:rPr>
                <w:bCs/>
                <w:sz w:val="22"/>
              </w:rPr>
            </w:pPr>
            <w:r>
              <w:rPr>
                <w:b/>
                <w:bCs/>
                <w:sz w:val="22"/>
              </w:rPr>
              <w:t>State Therapy Law Information (www.steptherapy.com)</w:t>
            </w:r>
            <w:r>
              <w:rPr>
                <w:bCs/>
                <w:sz w:val="22"/>
              </w:rPr>
              <w:t xml:space="preserve">__________________________________________ __________________________________________________________________________________________ </w:t>
            </w:r>
          </w:p>
        </w:tc>
      </w:tr>
      <w:tr w:rsidR="008E1E50" w:rsidRPr="00336194" w14:paraId="09DB41B2" w14:textId="77777777" w:rsidTr="00D07717">
        <w:trPr>
          <w:trHeight w:val="2794"/>
        </w:trPr>
        <w:tc>
          <w:tcPr>
            <w:tcW w:w="10800" w:type="dxa"/>
            <w:tcBorders>
              <w:top w:val="single" w:sz="4" w:space="0" w:color="auto"/>
              <w:left w:val="single" w:sz="4" w:space="0" w:color="000000"/>
              <w:bottom w:val="single" w:sz="4" w:space="0" w:color="000000"/>
              <w:right w:val="single" w:sz="4" w:space="0" w:color="000000"/>
            </w:tcBorders>
          </w:tcPr>
          <w:p w14:paraId="7565D891" w14:textId="77777777" w:rsidR="008E1E50" w:rsidRPr="00F773B3" w:rsidRDefault="008E1E50" w:rsidP="00D07717">
            <w:pPr>
              <w:shd w:val="clear" w:color="auto" w:fill="FFFFFF"/>
              <w:spacing w:after="75" w:line="315" w:lineRule="atLeast"/>
              <w:ind w:left="0" w:firstLine="0"/>
              <w:outlineLvl w:val="1"/>
              <w:rPr>
                <w:rFonts w:eastAsia="Times New Roman"/>
                <w:b/>
                <w:bCs/>
                <w:caps/>
                <w:color w:val="auto"/>
                <w:kern w:val="0"/>
                <w:sz w:val="22"/>
                <w14:ligatures w14:val="none"/>
              </w:rPr>
            </w:pPr>
            <w:r w:rsidRPr="00F773B3">
              <w:rPr>
                <w:rFonts w:eastAsia="Times New Roman"/>
                <w:b/>
                <w:bCs/>
                <w:caps/>
                <w:color w:val="auto"/>
                <w:kern w:val="0"/>
                <w:sz w:val="22"/>
                <w14:ligatures w14:val="none"/>
              </w:rPr>
              <w:lastRenderedPageBreak/>
              <w:t>For the prescribers background information:</w:t>
            </w:r>
          </w:p>
          <w:p w14:paraId="5F3218CD" w14:textId="77777777" w:rsidR="008E1E50" w:rsidRPr="00F773B3" w:rsidRDefault="008E1E50" w:rsidP="00D07717">
            <w:pPr>
              <w:shd w:val="clear" w:color="auto" w:fill="FFFFFF"/>
              <w:spacing w:after="75" w:line="315" w:lineRule="atLeast"/>
              <w:ind w:left="0" w:firstLine="0"/>
              <w:outlineLvl w:val="1"/>
              <w:rPr>
                <w:rFonts w:eastAsia="Times New Roman"/>
                <w:b/>
                <w:bCs/>
                <w:caps/>
                <w:color w:val="auto"/>
                <w:kern w:val="0"/>
                <w:sz w:val="22"/>
                <w14:ligatures w14:val="none"/>
              </w:rPr>
            </w:pPr>
            <w:r w:rsidRPr="00F773B3">
              <w:rPr>
                <w:rFonts w:eastAsia="Times New Roman"/>
                <w:b/>
                <w:bCs/>
                <w:caps/>
                <w:color w:val="auto"/>
                <w:kern w:val="0"/>
                <w:sz w:val="22"/>
                <w14:ligatures w14:val="none"/>
              </w:rPr>
              <w:t>Indications</w:t>
            </w:r>
          </w:p>
          <w:p w14:paraId="1FEE607E" w14:textId="77777777" w:rsidR="008E1E50" w:rsidRPr="00F773B3" w:rsidRDefault="008E1E50" w:rsidP="00D07717">
            <w:pPr>
              <w:numPr>
                <w:ilvl w:val="0"/>
                <w:numId w:val="4"/>
              </w:numPr>
              <w:shd w:val="clear" w:color="auto" w:fill="FFFFFF"/>
              <w:spacing w:after="0" w:line="345" w:lineRule="atLeast"/>
              <w:rPr>
                <w:rFonts w:eastAsia="Times New Roman"/>
                <w:color w:val="auto"/>
                <w:kern w:val="0"/>
                <w:sz w:val="22"/>
                <w14:ligatures w14:val="none"/>
              </w:rPr>
            </w:pPr>
            <w:r w:rsidRPr="00F773B3">
              <w:rPr>
                <w:rFonts w:eastAsia="Times New Roman"/>
                <w:color w:val="auto"/>
                <w:kern w:val="0"/>
                <w:sz w:val="22"/>
                <w14:ligatures w14:val="none"/>
              </w:rPr>
              <w:t>RELISTOR</w:t>
            </w:r>
            <w:r w:rsidRPr="00F773B3">
              <w:rPr>
                <w:rFonts w:eastAsia="Times New Roman"/>
                <w:color w:val="auto"/>
                <w:kern w:val="0"/>
                <w:sz w:val="22"/>
                <w:bdr w:val="none" w:sz="0" w:space="0" w:color="auto" w:frame="1"/>
                <w:vertAlign w:val="superscript"/>
                <w14:ligatures w14:val="none"/>
              </w:rPr>
              <w:t>®</w:t>
            </w:r>
            <w:r w:rsidRPr="00F773B3">
              <w:rPr>
                <w:rFonts w:eastAsia="Times New Roman"/>
                <w:color w:val="auto"/>
                <w:kern w:val="0"/>
                <w:sz w:val="22"/>
                <w14:ligatures w14:val="none"/>
              </w:rPr>
              <w:t> (methylnaltrexone bromide) is an opioid antagonist. RELISTOR tablets and RELISTOR injection are indicated for the treatment of opioid-induced constipation (OIC) in adults with chronic non-cancer pain, including patients with chronic pain related to prior cancer or its treatment who do not require frequent (e.g., weekly) opioid dosage escalation.</w:t>
            </w:r>
          </w:p>
          <w:p w14:paraId="16F88A75" w14:textId="77777777" w:rsidR="008E1E50" w:rsidRPr="00F773B3" w:rsidRDefault="008E1E50" w:rsidP="00D07717">
            <w:pPr>
              <w:numPr>
                <w:ilvl w:val="0"/>
                <w:numId w:val="4"/>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RELISTOR injection is also indicated for the treatment of OIC in adults with advanced illness or pain caused by active cancer who require opioid dosage escalation for palliative care.</w:t>
            </w:r>
          </w:p>
          <w:p w14:paraId="57E46552" w14:textId="77777777" w:rsidR="008E1E50" w:rsidRPr="00F773B3" w:rsidRDefault="008E1E50" w:rsidP="00D07717">
            <w:pPr>
              <w:shd w:val="clear" w:color="auto" w:fill="FFFFFF"/>
              <w:spacing w:after="75" w:line="315" w:lineRule="atLeast"/>
              <w:ind w:left="0" w:firstLine="0"/>
              <w:outlineLvl w:val="1"/>
              <w:rPr>
                <w:rFonts w:eastAsia="Times New Roman"/>
                <w:b/>
                <w:bCs/>
                <w:caps/>
                <w:color w:val="auto"/>
                <w:kern w:val="0"/>
                <w:sz w:val="22"/>
                <w14:ligatures w14:val="none"/>
              </w:rPr>
            </w:pPr>
            <w:r w:rsidRPr="00F773B3">
              <w:rPr>
                <w:rFonts w:eastAsia="Times New Roman"/>
                <w:b/>
                <w:bCs/>
                <w:caps/>
                <w:color w:val="auto"/>
                <w:kern w:val="0"/>
                <w:sz w:val="22"/>
                <w14:ligatures w14:val="none"/>
              </w:rPr>
              <w:t>IMPORTANT SAFETY INFORMATION</w:t>
            </w:r>
          </w:p>
          <w:p w14:paraId="700FEB2E" w14:textId="77777777" w:rsidR="008E1E50" w:rsidRPr="00F773B3" w:rsidRDefault="008E1E50" w:rsidP="00D07717">
            <w:pPr>
              <w:numPr>
                <w:ilvl w:val="0"/>
                <w:numId w:val="5"/>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RELISTOR tablets and injection are contraindicated in patients with known or suspected mechanical gastrointestinal obstruction and patients at increased risk of recurrent obstruction, due to the potential for gastrointestinal perforation.</w:t>
            </w:r>
          </w:p>
          <w:p w14:paraId="2DBE2F3C" w14:textId="77777777" w:rsidR="008E1E50" w:rsidRPr="00F773B3" w:rsidRDefault="008E1E50" w:rsidP="00D07717">
            <w:pPr>
              <w:numPr>
                <w:ilvl w:val="0"/>
                <w:numId w:val="5"/>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 xml:space="preserve">Cases of gastrointestinal perforation have been reported in adult patients with opioid-induced constipation and advanced illness with conditions that may be associated with localized or diffuse reduction of structural integrity in the wall of the gastrointestinal tract (e.g., peptic ulcer disease, Ogilvie’s syndrome, diverticular disease, infiltrative gastrointestinal tract malignancies or peritoneal metastases). </w:t>
            </w:r>
            <w:proofErr w:type="gramStart"/>
            <w:r w:rsidRPr="00F773B3">
              <w:rPr>
                <w:rFonts w:eastAsia="Times New Roman"/>
                <w:color w:val="auto"/>
                <w:kern w:val="0"/>
                <w:sz w:val="22"/>
                <w14:ligatures w14:val="none"/>
              </w:rPr>
              <w:t>Take into account</w:t>
            </w:r>
            <w:proofErr w:type="gramEnd"/>
            <w:r w:rsidRPr="00F773B3">
              <w:rPr>
                <w:rFonts w:eastAsia="Times New Roman"/>
                <w:color w:val="auto"/>
                <w:kern w:val="0"/>
                <w:sz w:val="22"/>
                <w14:ligatures w14:val="none"/>
              </w:rPr>
              <w:t xml:space="preserve"> the overall risk-benefit profile when using RELISTOR in patients with these conditions or other conditions which might result in impaired integrity of the gastrointestinal tract wall (e.g., Crohn’s disease). Monitor for the development of severe, persistent, or worsening abdominal pain; discontinue RELISTOR in patients who develop this symptom.</w:t>
            </w:r>
          </w:p>
          <w:p w14:paraId="7426DD72" w14:textId="77777777" w:rsidR="008E1E50" w:rsidRPr="00F773B3" w:rsidRDefault="008E1E50" w:rsidP="00D07717">
            <w:pPr>
              <w:numPr>
                <w:ilvl w:val="0"/>
                <w:numId w:val="5"/>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If severe or persistent diarrhea occurs during treatment, advise patients to discontinue therapy with RELISTOR and consult their healthcare provider.</w:t>
            </w:r>
          </w:p>
          <w:p w14:paraId="120A57A7" w14:textId="77777777" w:rsidR="008E1E50" w:rsidRPr="00F773B3" w:rsidRDefault="008E1E50" w:rsidP="00D07717">
            <w:pPr>
              <w:numPr>
                <w:ilvl w:val="0"/>
                <w:numId w:val="5"/>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Symptoms consistent with opioid withdrawal, including hyperhidrosis, chills, diarrhea, abdominal pain, anxiety, and yawning have occurred in patients treated with RELISTOR. Patients having disruptions to the blood-brain barrier may be at increased risk for opioid withdrawal and/or reduced analgesia and should be monitored for adequacy of analgesia and symptoms of opioid withdrawal.</w:t>
            </w:r>
          </w:p>
          <w:p w14:paraId="31D15140" w14:textId="77777777" w:rsidR="008E1E50" w:rsidRPr="00F773B3" w:rsidRDefault="008E1E50" w:rsidP="00D07717">
            <w:pPr>
              <w:numPr>
                <w:ilvl w:val="0"/>
                <w:numId w:val="5"/>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Avoid concomitant use of RELISTOR with other opioid antagonists because of the potential for additive effects of opioid receptor antagonism and increased risk of opioid withdrawal.</w:t>
            </w:r>
          </w:p>
          <w:p w14:paraId="4626C4D7" w14:textId="77777777" w:rsidR="008E1E50" w:rsidRPr="00F773B3" w:rsidRDefault="008E1E50" w:rsidP="00D07717">
            <w:pPr>
              <w:numPr>
                <w:ilvl w:val="0"/>
                <w:numId w:val="5"/>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 xml:space="preserve">The use of RELISTOR during pregnancy may precipitate opioid withdrawal in a fetus due to the immature fetal blood-brain barrier and should be used during pregnancy only if the potential benefit justifies the potential risk to the fetus. Because of the potential for serious adverse reactions, including opioid withdrawal, in breastfed infants, advise women that breastfeeding is not recommended during treatment with RELISTOR. In nursing mothers, a decision should be made to discontinue nursing or discontinue the drug, </w:t>
            </w:r>
            <w:proofErr w:type="gramStart"/>
            <w:r w:rsidRPr="00F773B3">
              <w:rPr>
                <w:rFonts w:eastAsia="Times New Roman"/>
                <w:color w:val="auto"/>
                <w:kern w:val="0"/>
                <w:sz w:val="22"/>
                <w14:ligatures w14:val="none"/>
              </w:rPr>
              <w:t>taking into account</w:t>
            </w:r>
            <w:proofErr w:type="gramEnd"/>
            <w:r w:rsidRPr="00F773B3">
              <w:rPr>
                <w:rFonts w:eastAsia="Times New Roman"/>
                <w:color w:val="auto"/>
                <w:kern w:val="0"/>
                <w:sz w:val="22"/>
                <w14:ligatures w14:val="none"/>
              </w:rPr>
              <w:t xml:space="preserve"> the importance of the drug to the mother.</w:t>
            </w:r>
          </w:p>
          <w:p w14:paraId="585A359C" w14:textId="77777777" w:rsidR="008E1E50" w:rsidRPr="00F773B3" w:rsidRDefault="008E1E50" w:rsidP="00D07717">
            <w:pPr>
              <w:numPr>
                <w:ilvl w:val="0"/>
                <w:numId w:val="5"/>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A dosage reduction of RELISTOR tablets and RELISTOR injection is recommended in patients with moderate and severe renal impairment (creatinine clearance less than 60 mL/minute as estimated by Cockcroft-Gault). No dosage adjustment of RELISTOR tablets or RELISTOR injection is needed in patients with mild renal impairment.</w:t>
            </w:r>
          </w:p>
          <w:p w14:paraId="17C782C8" w14:textId="77777777" w:rsidR="008E1E50" w:rsidRPr="00F773B3" w:rsidRDefault="008E1E50" w:rsidP="00D07717">
            <w:pPr>
              <w:numPr>
                <w:ilvl w:val="0"/>
                <w:numId w:val="5"/>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lastRenderedPageBreak/>
              <w:t>A dosage reduction of RELISTOR tablets is recommended in patients with moderate (Child-Pugh Class B) or severe (Child-Pugh Class C) hepatic impairment. No dosage adjustment of RELISTOR tablets is needed in patients with mild hepatic impairment (Child-Pugh Class A). No dosage adjustment of RELISTOR injection is needed for patients with mild or moderate hepatic impairment. In patients with severe hepatic impairment, monitor for methylnaltrexone-related adverse reactions and dose adjust per Prescribing Information as may be indicated.</w:t>
            </w:r>
          </w:p>
          <w:p w14:paraId="5BF0F5B7" w14:textId="77777777" w:rsidR="008E1E50" w:rsidRPr="00F773B3" w:rsidRDefault="008E1E50" w:rsidP="00D07717">
            <w:pPr>
              <w:numPr>
                <w:ilvl w:val="0"/>
                <w:numId w:val="5"/>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In the clinical studies, the most common adverse reactions were:</w:t>
            </w:r>
          </w:p>
          <w:p w14:paraId="460F5D20" w14:textId="77777777" w:rsidR="008E1E50" w:rsidRPr="00F773B3" w:rsidRDefault="008E1E50" w:rsidP="00D07717">
            <w:pPr>
              <w:shd w:val="clear" w:color="auto" w:fill="FFFFFF"/>
              <w:spacing w:after="90" w:line="345" w:lineRule="atLeast"/>
              <w:ind w:left="0" w:firstLine="0"/>
              <w:rPr>
                <w:rFonts w:eastAsia="Times New Roman"/>
                <w:color w:val="auto"/>
                <w:kern w:val="0"/>
                <w:sz w:val="22"/>
                <w14:ligatures w14:val="none"/>
              </w:rPr>
            </w:pPr>
            <w:r w:rsidRPr="00F773B3">
              <w:rPr>
                <w:rFonts w:eastAsia="Times New Roman"/>
                <w:color w:val="auto"/>
                <w:kern w:val="0"/>
                <w:sz w:val="22"/>
                <w14:ligatures w14:val="none"/>
              </w:rPr>
              <w:t>OIC in adult patients with chronic non-cancer pain</w:t>
            </w:r>
          </w:p>
          <w:p w14:paraId="567460D3" w14:textId="77777777" w:rsidR="008E1E50" w:rsidRPr="00F773B3" w:rsidRDefault="008E1E50" w:rsidP="00D07717">
            <w:pPr>
              <w:numPr>
                <w:ilvl w:val="0"/>
                <w:numId w:val="6"/>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RELISTOR tablets (≥ 2% of RELISTOR patients and at a greater incidence than placebo): abdominal pain (14%), diarrhea (5%), headache (4%), abdominal distention (4%), vomiting (3%), hyperhidrosis (3%), anxiety (2%), muscle spasms (2%), rhinorrhea (2%), and chills (2%).</w:t>
            </w:r>
          </w:p>
          <w:p w14:paraId="49B37470" w14:textId="77777777" w:rsidR="008E1E50" w:rsidRPr="00F773B3" w:rsidRDefault="008E1E50" w:rsidP="00D07717">
            <w:pPr>
              <w:numPr>
                <w:ilvl w:val="0"/>
                <w:numId w:val="6"/>
              </w:numPr>
              <w:shd w:val="clear" w:color="auto" w:fill="FFFFFF"/>
              <w:spacing w:after="150" w:line="345" w:lineRule="atLeast"/>
              <w:rPr>
                <w:rFonts w:eastAsia="Times New Roman"/>
                <w:color w:val="auto"/>
                <w:kern w:val="0"/>
                <w:sz w:val="22"/>
                <w14:ligatures w14:val="none"/>
              </w:rPr>
            </w:pPr>
            <w:r w:rsidRPr="00F773B3">
              <w:rPr>
                <w:rFonts w:eastAsia="Times New Roman"/>
                <w:color w:val="auto"/>
                <w:kern w:val="0"/>
                <w:sz w:val="22"/>
                <w14:ligatures w14:val="none"/>
              </w:rPr>
              <w:t>RELISTOR injection (≥ 1% of RELISTOR patients and at a greater incidence than placebo): abdominal pain (21%), nausea (9%), diarrhea (6%), hyperhidrosis (6%), hot flush (3%), tremor (1%), and chills (1%).</w:t>
            </w:r>
          </w:p>
          <w:p w14:paraId="0486DB36" w14:textId="77777777" w:rsidR="008E1E50" w:rsidRPr="00F773B3" w:rsidRDefault="008E1E50" w:rsidP="00D07717">
            <w:pPr>
              <w:shd w:val="clear" w:color="auto" w:fill="FFFFFF"/>
              <w:spacing w:after="90" w:line="345" w:lineRule="atLeast"/>
              <w:ind w:left="0" w:firstLine="0"/>
              <w:rPr>
                <w:rFonts w:eastAsia="Times New Roman"/>
                <w:color w:val="auto"/>
                <w:kern w:val="0"/>
                <w:sz w:val="22"/>
                <w14:ligatures w14:val="none"/>
              </w:rPr>
            </w:pPr>
            <w:r w:rsidRPr="00F773B3">
              <w:rPr>
                <w:rFonts w:eastAsia="Times New Roman"/>
                <w:color w:val="auto"/>
                <w:kern w:val="0"/>
                <w:sz w:val="22"/>
                <w14:ligatures w14:val="none"/>
              </w:rPr>
              <w:t>OIC in adult patients with advanced illness</w:t>
            </w:r>
          </w:p>
          <w:p w14:paraId="13B670BC" w14:textId="77777777" w:rsidR="008E1E50" w:rsidRPr="00D708D5" w:rsidRDefault="008E1E50" w:rsidP="00D07717">
            <w:pPr>
              <w:numPr>
                <w:ilvl w:val="0"/>
                <w:numId w:val="7"/>
              </w:numPr>
              <w:shd w:val="clear" w:color="auto" w:fill="FFFFFF"/>
              <w:spacing w:after="150" w:line="345" w:lineRule="atLeast"/>
              <w:rPr>
                <w:b/>
                <w:color w:val="auto"/>
                <w:sz w:val="22"/>
              </w:rPr>
            </w:pPr>
            <w:r w:rsidRPr="00F773B3">
              <w:rPr>
                <w:rFonts w:eastAsia="Times New Roman"/>
                <w:color w:val="auto"/>
                <w:kern w:val="0"/>
                <w:sz w:val="22"/>
                <w14:ligatures w14:val="none"/>
              </w:rPr>
              <w:t>RELISTOR injection (≥ 5% of RELISTOR patients and at a greater incidence than placebo): abdominal pain (29%), flatulence (13%), nausea (12%), dizziness (7%), and diarrhea (6%).</w:t>
            </w:r>
          </w:p>
          <w:p w14:paraId="44945705" w14:textId="590F995D" w:rsidR="00D708D5" w:rsidRPr="00F773B3" w:rsidRDefault="00D708D5" w:rsidP="00D708D5">
            <w:pPr>
              <w:shd w:val="clear" w:color="auto" w:fill="FFFFFF"/>
              <w:spacing w:after="150" w:line="345" w:lineRule="atLeast"/>
              <w:rPr>
                <w:b/>
                <w:color w:val="auto"/>
                <w:sz w:val="22"/>
              </w:rPr>
            </w:pPr>
            <w:r w:rsidRPr="001E6F66">
              <w:rPr>
                <w:rFonts w:eastAsia="Times New Roman"/>
                <w:color w:val="auto"/>
                <w:kern w:val="0"/>
                <w:sz w:val="22"/>
                <w14:ligatures w14:val="none"/>
              </w:rPr>
              <w:t xml:space="preserve">Please see the accompanying full </w:t>
            </w:r>
            <w:hyperlink r:id="rId6" w:history="1">
              <w:r w:rsidRPr="001E6F66">
                <w:rPr>
                  <w:rStyle w:val="Hyperlink"/>
                  <w:rFonts w:eastAsia="Times New Roman"/>
                  <w:kern w:val="0"/>
                  <w:sz w:val="22"/>
                  <w14:ligatures w14:val="none"/>
                </w:rPr>
                <w:t>Prescribing Information</w:t>
              </w:r>
            </w:hyperlink>
            <w:r w:rsidRPr="001E6F66">
              <w:rPr>
                <w:rFonts w:eastAsia="Times New Roman"/>
                <w:color w:val="auto"/>
                <w:kern w:val="0"/>
                <w:sz w:val="22"/>
                <w14:ligatures w14:val="none"/>
              </w:rPr>
              <w:t>.</w:t>
            </w:r>
          </w:p>
        </w:tc>
      </w:tr>
    </w:tbl>
    <w:p w14:paraId="703EC2D5" w14:textId="77777777" w:rsidR="008E1E50" w:rsidRDefault="009A13F4" w:rsidP="008E1E50">
      <w:pPr>
        <w:ind w:left="0" w:firstLine="0"/>
        <w:rPr>
          <w:szCs w:val="18"/>
        </w:rPr>
      </w:pPr>
      <w:r>
        <w:rPr>
          <w:sz w:val="20"/>
          <w:szCs w:val="18"/>
        </w:rPr>
        <w:lastRenderedPageBreak/>
        <w:t xml:space="preserve">Relistor is a trademark of Salix Pharmaceuticals or its affiliates. </w:t>
      </w:r>
    </w:p>
    <w:p w14:paraId="6A09708D" w14:textId="3F991EC8" w:rsidR="009A13F4" w:rsidRPr="008E1E50" w:rsidRDefault="009A13F4" w:rsidP="008E1E50">
      <w:pPr>
        <w:ind w:left="0" w:firstLine="0"/>
      </w:pPr>
      <w:r>
        <w:rPr>
          <w:sz w:val="20"/>
          <w:szCs w:val="18"/>
        </w:rPr>
        <w:t xml:space="preserve">All other trademarks are the property of their respective owners. </w:t>
      </w:r>
    </w:p>
    <w:p w14:paraId="57671F87" w14:textId="27B5A44B" w:rsidR="001F459F" w:rsidRPr="009A13F4" w:rsidRDefault="009A13F4" w:rsidP="00E059D2">
      <w:pPr>
        <w:spacing w:after="0" w:line="259" w:lineRule="auto"/>
        <w:ind w:left="0" w:firstLine="0"/>
        <w:jc w:val="both"/>
        <w:rPr>
          <w:sz w:val="32"/>
          <w:szCs w:val="28"/>
        </w:rPr>
      </w:pPr>
      <w:r w:rsidRPr="009A13F4">
        <w:rPr>
          <w:sz w:val="20"/>
          <w:szCs w:val="18"/>
        </w:rPr>
        <w:t>© 2025 Salix Pharmaceuticals or its affiliates.</w:t>
      </w:r>
      <w:r w:rsidR="00E059D2">
        <w:rPr>
          <w:sz w:val="20"/>
          <w:szCs w:val="18"/>
        </w:rPr>
        <w:tab/>
      </w:r>
      <w:r w:rsidR="00E059D2">
        <w:rPr>
          <w:sz w:val="20"/>
          <w:szCs w:val="18"/>
        </w:rPr>
        <w:tab/>
      </w:r>
      <w:r w:rsidR="00E059D2">
        <w:rPr>
          <w:sz w:val="20"/>
          <w:szCs w:val="18"/>
        </w:rPr>
        <w:tab/>
      </w:r>
      <w:r w:rsidR="00E059D2">
        <w:rPr>
          <w:sz w:val="20"/>
          <w:szCs w:val="18"/>
        </w:rPr>
        <w:tab/>
      </w:r>
      <w:r w:rsidR="00E059D2">
        <w:rPr>
          <w:sz w:val="20"/>
          <w:szCs w:val="18"/>
        </w:rPr>
        <w:tab/>
      </w:r>
      <w:r w:rsidR="00E059D2">
        <w:rPr>
          <w:sz w:val="20"/>
          <w:szCs w:val="18"/>
        </w:rPr>
        <w:tab/>
      </w:r>
      <w:r w:rsidR="00126EFB" w:rsidRPr="009A13F4">
        <w:rPr>
          <w:sz w:val="20"/>
          <w:szCs w:val="28"/>
        </w:rPr>
        <w:t>REL</w:t>
      </w:r>
      <w:r w:rsidR="00D708D5">
        <w:rPr>
          <w:sz w:val="20"/>
          <w:szCs w:val="28"/>
        </w:rPr>
        <w:t>O</w:t>
      </w:r>
      <w:r w:rsidR="00126EFB" w:rsidRPr="009A13F4">
        <w:rPr>
          <w:sz w:val="20"/>
          <w:szCs w:val="28"/>
        </w:rPr>
        <w:t>.</w:t>
      </w:r>
      <w:r w:rsidR="00D708D5">
        <w:rPr>
          <w:sz w:val="20"/>
          <w:szCs w:val="28"/>
        </w:rPr>
        <w:t>0036</w:t>
      </w:r>
      <w:r w:rsidR="00126EFB" w:rsidRPr="009A13F4">
        <w:rPr>
          <w:sz w:val="20"/>
          <w:szCs w:val="28"/>
        </w:rPr>
        <w:t>.USA.23V</w:t>
      </w:r>
      <w:r w:rsidR="00B9331D">
        <w:rPr>
          <w:sz w:val="20"/>
          <w:szCs w:val="28"/>
        </w:rPr>
        <w:t>2</w:t>
      </w:r>
      <w:r w:rsidR="00126EFB" w:rsidRPr="009A13F4">
        <w:rPr>
          <w:sz w:val="20"/>
          <w:szCs w:val="28"/>
        </w:rPr>
        <w:t>.0</w:t>
      </w:r>
      <w:r w:rsidR="006E37C4" w:rsidRPr="009A13F4">
        <w:rPr>
          <w:sz w:val="20"/>
          <w:szCs w:val="28"/>
        </w:rPr>
        <w:t xml:space="preserve"> </w:t>
      </w:r>
    </w:p>
    <w:sectPr w:rsidR="001F459F" w:rsidRPr="009A13F4">
      <w:pgSz w:w="12240" w:h="15840"/>
      <w:pgMar w:top="841" w:right="673" w:bottom="4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2BD6"/>
    <w:multiLevelType w:val="hybridMultilevel"/>
    <w:tmpl w:val="E84C5F52"/>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 w15:restartNumberingAfterBreak="0">
    <w:nsid w:val="3C0302F9"/>
    <w:multiLevelType w:val="multilevel"/>
    <w:tmpl w:val="878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45D7D"/>
    <w:multiLevelType w:val="hybridMultilevel"/>
    <w:tmpl w:val="99DC361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46F02C1E"/>
    <w:multiLevelType w:val="multilevel"/>
    <w:tmpl w:val="5E1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40900"/>
    <w:multiLevelType w:val="hybridMultilevel"/>
    <w:tmpl w:val="857A3126"/>
    <w:lvl w:ilvl="0" w:tplc="7F7C350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65025914"/>
    <w:multiLevelType w:val="multilevel"/>
    <w:tmpl w:val="2E1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5748F"/>
    <w:multiLevelType w:val="multilevel"/>
    <w:tmpl w:val="DA1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790612">
    <w:abstractNumId w:val="0"/>
  </w:num>
  <w:num w:numId="2" w16cid:durableId="167865155">
    <w:abstractNumId w:val="2"/>
  </w:num>
  <w:num w:numId="3" w16cid:durableId="1739522289">
    <w:abstractNumId w:val="4"/>
  </w:num>
  <w:num w:numId="4" w16cid:durableId="2101245672">
    <w:abstractNumId w:val="1"/>
  </w:num>
  <w:num w:numId="5" w16cid:durableId="27797308">
    <w:abstractNumId w:val="5"/>
  </w:num>
  <w:num w:numId="6" w16cid:durableId="1324236979">
    <w:abstractNumId w:val="6"/>
  </w:num>
  <w:num w:numId="7" w16cid:durableId="1795057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9F"/>
    <w:rsid w:val="00026089"/>
    <w:rsid w:val="00034CBF"/>
    <w:rsid w:val="00035075"/>
    <w:rsid w:val="0003672C"/>
    <w:rsid w:val="000369AC"/>
    <w:rsid w:val="0003726A"/>
    <w:rsid w:val="00041660"/>
    <w:rsid w:val="000546E5"/>
    <w:rsid w:val="00060DBE"/>
    <w:rsid w:val="000659B3"/>
    <w:rsid w:val="00070441"/>
    <w:rsid w:val="00093395"/>
    <w:rsid w:val="00095E20"/>
    <w:rsid w:val="00096BED"/>
    <w:rsid w:val="00097E5A"/>
    <w:rsid w:val="000A084A"/>
    <w:rsid w:val="000A166A"/>
    <w:rsid w:val="000A2A4B"/>
    <w:rsid w:val="000B1626"/>
    <w:rsid w:val="000D61AA"/>
    <w:rsid w:val="000E1056"/>
    <w:rsid w:val="000E24BA"/>
    <w:rsid w:val="000E3B26"/>
    <w:rsid w:val="000E5ECE"/>
    <w:rsid w:val="000E6543"/>
    <w:rsid w:val="000F5F63"/>
    <w:rsid w:val="00102460"/>
    <w:rsid w:val="00106F7A"/>
    <w:rsid w:val="00126EFB"/>
    <w:rsid w:val="00144456"/>
    <w:rsid w:val="00167333"/>
    <w:rsid w:val="00174D49"/>
    <w:rsid w:val="00180018"/>
    <w:rsid w:val="00193DB4"/>
    <w:rsid w:val="00195B9A"/>
    <w:rsid w:val="001A4C30"/>
    <w:rsid w:val="001A57B3"/>
    <w:rsid w:val="001B3AD1"/>
    <w:rsid w:val="001C1731"/>
    <w:rsid w:val="001D4833"/>
    <w:rsid w:val="001D509A"/>
    <w:rsid w:val="001F459F"/>
    <w:rsid w:val="00200D96"/>
    <w:rsid w:val="00201551"/>
    <w:rsid w:val="0020684D"/>
    <w:rsid w:val="00225967"/>
    <w:rsid w:val="00232FA1"/>
    <w:rsid w:val="002429E4"/>
    <w:rsid w:val="002512E9"/>
    <w:rsid w:val="002604D0"/>
    <w:rsid w:val="00260954"/>
    <w:rsid w:val="00262D5C"/>
    <w:rsid w:val="0026731E"/>
    <w:rsid w:val="002766C3"/>
    <w:rsid w:val="00280A2E"/>
    <w:rsid w:val="0029595A"/>
    <w:rsid w:val="002C2828"/>
    <w:rsid w:val="002D57EC"/>
    <w:rsid w:val="002D7601"/>
    <w:rsid w:val="002F35DF"/>
    <w:rsid w:val="00306748"/>
    <w:rsid w:val="00306B57"/>
    <w:rsid w:val="0030733F"/>
    <w:rsid w:val="0032625C"/>
    <w:rsid w:val="00327DC0"/>
    <w:rsid w:val="00332BA6"/>
    <w:rsid w:val="00336194"/>
    <w:rsid w:val="003361CA"/>
    <w:rsid w:val="003454DF"/>
    <w:rsid w:val="003801CC"/>
    <w:rsid w:val="003903A5"/>
    <w:rsid w:val="003A12EB"/>
    <w:rsid w:val="003A1AB6"/>
    <w:rsid w:val="003A2A63"/>
    <w:rsid w:val="003A5F11"/>
    <w:rsid w:val="003B1151"/>
    <w:rsid w:val="003D17A3"/>
    <w:rsid w:val="003D26B8"/>
    <w:rsid w:val="003E64C6"/>
    <w:rsid w:val="00405AB5"/>
    <w:rsid w:val="004111EC"/>
    <w:rsid w:val="00412BC5"/>
    <w:rsid w:val="00415739"/>
    <w:rsid w:val="004215F1"/>
    <w:rsid w:val="00436A5C"/>
    <w:rsid w:val="00444DEA"/>
    <w:rsid w:val="00444E0E"/>
    <w:rsid w:val="00451A78"/>
    <w:rsid w:val="00455B23"/>
    <w:rsid w:val="00465B19"/>
    <w:rsid w:val="00477297"/>
    <w:rsid w:val="00480439"/>
    <w:rsid w:val="00483E28"/>
    <w:rsid w:val="00497111"/>
    <w:rsid w:val="004A4D93"/>
    <w:rsid w:val="004B3E05"/>
    <w:rsid w:val="004C157A"/>
    <w:rsid w:val="004C7E14"/>
    <w:rsid w:val="004F06EB"/>
    <w:rsid w:val="00504988"/>
    <w:rsid w:val="005075A6"/>
    <w:rsid w:val="0051656D"/>
    <w:rsid w:val="00530720"/>
    <w:rsid w:val="00560BC6"/>
    <w:rsid w:val="00571DB3"/>
    <w:rsid w:val="005722C0"/>
    <w:rsid w:val="00572BFD"/>
    <w:rsid w:val="00590595"/>
    <w:rsid w:val="005919DF"/>
    <w:rsid w:val="005A1DC8"/>
    <w:rsid w:val="005A6B91"/>
    <w:rsid w:val="005B0A70"/>
    <w:rsid w:val="005B5A80"/>
    <w:rsid w:val="005B6509"/>
    <w:rsid w:val="005D534B"/>
    <w:rsid w:val="005D5753"/>
    <w:rsid w:val="005E1AC2"/>
    <w:rsid w:val="005E4EC3"/>
    <w:rsid w:val="0061346C"/>
    <w:rsid w:val="00613947"/>
    <w:rsid w:val="00615602"/>
    <w:rsid w:val="006242A9"/>
    <w:rsid w:val="00650AA4"/>
    <w:rsid w:val="00654E14"/>
    <w:rsid w:val="006567B5"/>
    <w:rsid w:val="0066052C"/>
    <w:rsid w:val="00691995"/>
    <w:rsid w:val="006A0AFD"/>
    <w:rsid w:val="006A5B9C"/>
    <w:rsid w:val="006A68FC"/>
    <w:rsid w:val="006A783A"/>
    <w:rsid w:val="006B65AC"/>
    <w:rsid w:val="006E37C4"/>
    <w:rsid w:val="006E4E40"/>
    <w:rsid w:val="006E6030"/>
    <w:rsid w:val="006E6E21"/>
    <w:rsid w:val="006F1829"/>
    <w:rsid w:val="00702357"/>
    <w:rsid w:val="0070263E"/>
    <w:rsid w:val="007104DF"/>
    <w:rsid w:val="0071125A"/>
    <w:rsid w:val="007234D3"/>
    <w:rsid w:val="00735261"/>
    <w:rsid w:val="00767F6E"/>
    <w:rsid w:val="0077610F"/>
    <w:rsid w:val="0078162E"/>
    <w:rsid w:val="00781E75"/>
    <w:rsid w:val="007C2961"/>
    <w:rsid w:val="007E660F"/>
    <w:rsid w:val="007F42E7"/>
    <w:rsid w:val="00804A99"/>
    <w:rsid w:val="0081002B"/>
    <w:rsid w:val="0081169A"/>
    <w:rsid w:val="008175A6"/>
    <w:rsid w:val="00820A4F"/>
    <w:rsid w:val="00853069"/>
    <w:rsid w:val="00853D08"/>
    <w:rsid w:val="00855360"/>
    <w:rsid w:val="0086104E"/>
    <w:rsid w:val="008810A6"/>
    <w:rsid w:val="00883A32"/>
    <w:rsid w:val="00896593"/>
    <w:rsid w:val="008A73FC"/>
    <w:rsid w:val="008A7560"/>
    <w:rsid w:val="008B4A23"/>
    <w:rsid w:val="008B56D6"/>
    <w:rsid w:val="008D1248"/>
    <w:rsid w:val="008E1E50"/>
    <w:rsid w:val="008E44CF"/>
    <w:rsid w:val="009056AD"/>
    <w:rsid w:val="0090598A"/>
    <w:rsid w:val="00906169"/>
    <w:rsid w:val="009127C7"/>
    <w:rsid w:val="0092036D"/>
    <w:rsid w:val="009260A9"/>
    <w:rsid w:val="0092644E"/>
    <w:rsid w:val="0093175A"/>
    <w:rsid w:val="00945E59"/>
    <w:rsid w:val="00946A96"/>
    <w:rsid w:val="0094761A"/>
    <w:rsid w:val="009901C2"/>
    <w:rsid w:val="009970AE"/>
    <w:rsid w:val="00997596"/>
    <w:rsid w:val="009A13F4"/>
    <w:rsid w:val="009A6CEB"/>
    <w:rsid w:val="009A6DE8"/>
    <w:rsid w:val="009C480F"/>
    <w:rsid w:val="009E2EBC"/>
    <w:rsid w:val="00A0296C"/>
    <w:rsid w:val="00A107D7"/>
    <w:rsid w:val="00A15832"/>
    <w:rsid w:val="00A31E2E"/>
    <w:rsid w:val="00A46C74"/>
    <w:rsid w:val="00A55AC6"/>
    <w:rsid w:val="00A64E94"/>
    <w:rsid w:val="00A71F8A"/>
    <w:rsid w:val="00A85BF2"/>
    <w:rsid w:val="00AA0343"/>
    <w:rsid w:val="00AA5155"/>
    <w:rsid w:val="00AB3EFA"/>
    <w:rsid w:val="00AB43A6"/>
    <w:rsid w:val="00AC0D36"/>
    <w:rsid w:val="00AC2485"/>
    <w:rsid w:val="00AD029F"/>
    <w:rsid w:val="00AD22B9"/>
    <w:rsid w:val="00AE5F06"/>
    <w:rsid w:val="00AF1AE6"/>
    <w:rsid w:val="00AF41A5"/>
    <w:rsid w:val="00B2553E"/>
    <w:rsid w:val="00B314DE"/>
    <w:rsid w:val="00B405B8"/>
    <w:rsid w:val="00B45EA2"/>
    <w:rsid w:val="00B5132D"/>
    <w:rsid w:val="00B536CE"/>
    <w:rsid w:val="00B552D9"/>
    <w:rsid w:val="00B62915"/>
    <w:rsid w:val="00B668AF"/>
    <w:rsid w:val="00B67E19"/>
    <w:rsid w:val="00B73B57"/>
    <w:rsid w:val="00B80137"/>
    <w:rsid w:val="00B80A2E"/>
    <w:rsid w:val="00B8234F"/>
    <w:rsid w:val="00B86183"/>
    <w:rsid w:val="00B90952"/>
    <w:rsid w:val="00B9331D"/>
    <w:rsid w:val="00B96C4B"/>
    <w:rsid w:val="00BA084E"/>
    <w:rsid w:val="00BB2799"/>
    <w:rsid w:val="00BB475A"/>
    <w:rsid w:val="00BC05EC"/>
    <w:rsid w:val="00BC65ED"/>
    <w:rsid w:val="00BD1059"/>
    <w:rsid w:val="00BE2C5D"/>
    <w:rsid w:val="00C02593"/>
    <w:rsid w:val="00C05262"/>
    <w:rsid w:val="00C15812"/>
    <w:rsid w:val="00C23AAB"/>
    <w:rsid w:val="00C27E9B"/>
    <w:rsid w:val="00C544B9"/>
    <w:rsid w:val="00C67F51"/>
    <w:rsid w:val="00C7006B"/>
    <w:rsid w:val="00C759EB"/>
    <w:rsid w:val="00C86659"/>
    <w:rsid w:val="00C93069"/>
    <w:rsid w:val="00CA4F8C"/>
    <w:rsid w:val="00CA5ABF"/>
    <w:rsid w:val="00CB3E39"/>
    <w:rsid w:val="00CC67EF"/>
    <w:rsid w:val="00CE31CC"/>
    <w:rsid w:val="00CE62A9"/>
    <w:rsid w:val="00D1261D"/>
    <w:rsid w:val="00D12D5F"/>
    <w:rsid w:val="00D13B75"/>
    <w:rsid w:val="00D15ED6"/>
    <w:rsid w:val="00D33FA6"/>
    <w:rsid w:val="00D41331"/>
    <w:rsid w:val="00D60F06"/>
    <w:rsid w:val="00D6257D"/>
    <w:rsid w:val="00D62B7C"/>
    <w:rsid w:val="00D708D5"/>
    <w:rsid w:val="00D8479C"/>
    <w:rsid w:val="00D85138"/>
    <w:rsid w:val="00D964BD"/>
    <w:rsid w:val="00D97574"/>
    <w:rsid w:val="00DA5C36"/>
    <w:rsid w:val="00DB611F"/>
    <w:rsid w:val="00DB707E"/>
    <w:rsid w:val="00DC13AD"/>
    <w:rsid w:val="00DC2644"/>
    <w:rsid w:val="00DD3CE0"/>
    <w:rsid w:val="00DF2DA8"/>
    <w:rsid w:val="00DF6888"/>
    <w:rsid w:val="00E0166F"/>
    <w:rsid w:val="00E059D2"/>
    <w:rsid w:val="00E10A80"/>
    <w:rsid w:val="00E17F79"/>
    <w:rsid w:val="00E304C6"/>
    <w:rsid w:val="00E3306A"/>
    <w:rsid w:val="00E57D89"/>
    <w:rsid w:val="00E60CF1"/>
    <w:rsid w:val="00E61119"/>
    <w:rsid w:val="00E617D9"/>
    <w:rsid w:val="00E67F24"/>
    <w:rsid w:val="00E70E06"/>
    <w:rsid w:val="00E717EF"/>
    <w:rsid w:val="00E722B6"/>
    <w:rsid w:val="00E84FCD"/>
    <w:rsid w:val="00EA1F40"/>
    <w:rsid w:val="00EA51B8"/>
    <w:rsid w:val="00EB6301"/>
    <w:rsid w:val="00EC0310"/>
    <w:rsid w:val="00EC4D8A"/>
    <w:rsid w:val="00EC5E20"/>
    <w:rsid w:val="00ED0842"/>
    <w:rsid w:val="00EF6A24"/>
    <w:rsid w:val="00F03C9A"/>
    <w:rsid w:val="00F05A53"/>
    <w:rsid w:val="00F21702"/>
    <w:rsid w:val="00F26646"/>
    <w:rsid w:val="00F3436B"/>
    <w:rsid w:val="00F476CA"/>
    <w:rsid w:val="00F651AC"/>
    <w:rsid w:val="00F67C07"/>
    <w:rsid w:val="00F773B3"/>
    <w:rsid w:val="00F8799B"/>
    <w:rsid w:val="00F92422"/>
    <w:rsid w:val="00F970C5"/>
    <w:rsid w:val="00FA44D6"/>
    <w:rsid w:val="00FD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0D6A"/>
  <w15:docId w15:val="{2FC0F113-3446-4EDC-B272-C4B3590D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12" w:space="0" w:color="000000"/>
        <w:left w:val="single" w:sz="12" w:space="0" w:color="000000"/>
        <w:bottom w:val="single" w:sz="12" w:space="0" w:color="000000"/>
        <w:right w:val="single" w:sz="12" w:space="0" w:color="000000"/>
      </w:pBdr>
      <w:shd w:val="clear" w:color="auto" w:fill="A7A8A8"/>
      <w:spacing w:after="50"/>
      <w:ind w:left="56"/>
      <w:jc w:val="center"/>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F67C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95B9A"/>
    <w:pPr>
      <w:ind w:left="720"/>
      <w:contextualSpacing/>
    </w:pPr>
  </w:style>
  <w:style w:type="paragraph" w:customStyle="1" w:styleId="BOLDTEXT">
    <w:name w:val="BOLD TEXT"/>
    <w:basedOn w:val="Normal"/>
    <w:link w:val="BOLDTEXTChar"/>
    <w:qFormat/>
    <w:rsid w:val="00560BC6"/>
    <w:pPr>
      <w:widowControl w:val="0"/>
      <w:tabs>
        <w:tab w:val="left" w:pos="1040"/>
      </w:tabs>
      <w:suppressAutoHyphens/>
      <w:autoSpaceDE w:val="0"/>
      <w:autoSpaceDN w:val="0"/>
      <w:adjustRightInd w:val="0"/>
      <w:spacing w:before="120" w:after="0" w:line="240" w:lineRule="auto"/>
      <w:ind w:left="0" w:right="-245" w:firstLine="0"/>
      <w:textAlignment w:val="center"/>
    </w:pPr>
    <w:rPr>
      <w:rFonts w:eastAsia="Calibri"/>
      <w:b/>
      <w:bCs/>
      <w:kern w:val="0"/>
      <w:sz w:val="20"/>
      <w:szCs w:val="18"/>
      <w14:ligatures w14:val="none"/>
    </w:rPr>
  </w:style>
  <w:style w:type="character" w:customStyle="1" w:styleId="BOLDTEXTChar">
    <w:name w:val="BOLD TEXT Char"/>
    <w:link w:val="BOLDTEXT"/>
    <w:rsid w:val="00560BC6"/>
    <w:rPr>
      <w:rFonts w:ascii="Arial" w:eastAsia="Calibri" w:hAnsi="Arial" w:cs="Arial"/>
      <w:b/>
      <w:bCs/>
      <w:color w:val="000000"/>
      <w:kern w:val="0"/>
      <w:sz w:val="20"/>
      <w:szCs w:val="18"/>
      <w14:ligatures w14:val="none"/>
    </w:rPr>
  </w:style>
  <w:style w:type="character" w:styleId="CommentReference">
    <w:name w:val="annotation reference"/>
    <w:basedOn w:val="DefaultParagraphFont"/>
    <w:uiPriority w:val="99"/>
    <w:semiHidden/>
    <w:unhideWhenUsed/>
    <w:rsid w:val="00E10A80"/>
    <w:rPr>
      <w:sz w:val="16"/>
      <w:szCs w:val="16"/>
    </w:rPr>
  </w:style>
  <w:style w:type="paragraph" w:styleId="CommentText">
    <w:name w:val="annotation text"/>
    <w:basedOn w:val="Normal"/>
    <w:link w:val="CommentTextChar"/>
    <w:uiPriority w:val="99"/>
    <w:unhideWhenUsed/>
    <w:rsid w:val="00E10A80"/>
    <w:pPr>
      <w:spacing w:line="240" w:lineRule="auto"/>
    </w:pPr>
    <w:rPr>
      <w:sz w:val="20"/>
      <w:szCs w:val="20"/>
    </w:rPr>
  </w:style>
  <w:style w:type="character" w:customStyle="1" w:styleId="CommentTextChar">
    <w:name w:val="Comment Text Char"/>
    <w:basedOn w:val="DefaultParagraphFont"/>
    <w:link w:val="CommentText"/>
    <w:uiPriority w:val="99"/>
    <w:rsid w:val="00E10A8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10A80"/>
    <w:rPr>
      <w:b/>
      <w:bCs/>
    </w:rPr>
  </w:style>
  <w:style w:type="character" w:customStyle="1" w:styleId="CommentSubjectChar">
    <w:name w:val="Comment Subject Char"/>
    <w:basedOn w:val="CommentTextChar"/>
    <w:link w:val="CommentSubject"/>
    <w:uiPriority w:val="99"/>
    <w:semiHidden/>
    <w:rsid w:val="00E10A80"/>
    <w:rPr>
      <w:rFonts w:ascii="Arial" w:eastAsia="Arial" w:hAnsi="Arial" w:cs="Arial"/>
      <w:b/>
      <w:bCs/>
      <w:color w:val="000000"/>
      <w:sz w:val="20"/>
      <w:szCs w:val="20"/>
    </w:rPr>
  </w:style>
  <w:style w:type="paragraph" w:styleId="Revision">
    <w:name w:val="Revision"/>
    <w:hidden/>
    <w:uiPriority w:val="99"/>
    <w:semiHidden/>
    <w:rsid w:val="00F67C07"/>
    <w:pPr>
      <w:spacing w:after="0" w:line="240" w:lineRule="auto"/>
    </w:pPr>
    <w:rPr>
      <w:rFonts w:ascii="Arial" w:eastAsia="Arial" w:hAnsi="Arial" w:cs="Arial"/>
      <w:color w:val="000000"/>
      <w:sz w:val="24"/>
    </w:rPr>
  </w:style>
  <w:style w:type="character" w:customStyle="1" w:styleId="Heading2Char">
    <w:name w:val="Heading 2 Char"/>
    <w:basedOn w:val="DefaultParagraphFont"/>
    <w:link w:val="Heading2"/>
    <w:uiPriority w:val="9"/>
    <w:semiHidden/>
    <w:rsid w:val="00F67C0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A5C36"/>
    <w:rPr>
      <w:color w:val="0563C1" w:themeColor="hyperlink"/>
      <w:u w:val="single"/>
    </w:rPr>
  </w:style>
  <w:style w:type="character" w:styleId="UnresolvedMention">
    <w:name w:val="Unresolved Mention"/>
    <w:basedOn w:val="DefaultParagraphFont"/>
    <w:uiPriority w:val="99"/>
    <w:semiHidden/>
    <w:unhideWhenUsed/>
    <w:rsid w:val="00DA5C36"/>
    <w:rPr>
      <w:color w:val="605E5C"/>
      <w:shd w:val="clear" w:color="auto" w:fill="E1DFDD"/>
    </w:rPr>
  </w:style>
  <w:style w:type="table" w:styleId="TableGrid0">
    <w:name w:val="Table Grid"/>
    <w:basedOn w:val="TableNormal"/>
    <w:uiPriority w:val="39"/>
    <w:rsid w:val="003A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7E9B"/>
    <w:pPr>
      <w:widowControl w:val="0"/>
      <w:autoSpaceDE w:val="0"/>
      <w:autoSpaceDN w:val="0"/>
      <w:spacing w:after="0" w:line="240" w:lineRule="auto"/>
      <w:ind w:left="0" w:firstLine="0"/>
    </w:pPr>
    <w:rPr>
      <w:color w:val="auto"/>
      <w:kern w:val="0"/>
      <w:szCs w:val="24"/>
      <w14:ligatures w14:val="none"/>
    </w:rPr>
  </w:style>
  <w:style w:type="character" w:customStyle="1" w:styleId="BodyTextChar">
    <w:name w:val="Body Text Char"/>
    <w:basedOn w:val="DefaultParagraphFont"/>
    <w:link w:val="BodyText"/>
    <w:uiPriority w:val="1"/>
    <w:rsid w:val="00C27E9B"/>
    <w:rPr>
      <w:rFonts w:ascii="Arial" w:eastAsia="Arial" w:hAnsi="Arial" w:cs="Arial"/>
      <w:kern w:val="0"/>
      <w:sz w:val="24"/>
      <w:szCs w:val="24"/>
      <w14:ligatures w14:val="none"/>
    </w:rPr>
  </w:style>
  <w:style w:type="character" w:styleId="FollowedHyperlink">
    <w:name w:val="FollowedHyperlink"/>
    <w:basedOn w:val="DefaultParagraphFont"/>
    <w:uiPriority w:val="99"/>
    <w:semiHidden/>
    <w:unhideWhenUsed/>
    <w:rsid w:val="00D70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6419">
      <w:bodyDiv w:val="1"/>
      <w:marLeft w:val="0"/>
      <w:marRight w:val="0"/>
      <w:marTop w:val="0"/>
      <w:marBottom w:val="0"/>
      <w:divBdr>
        <w:top w:val="none" w:sz="0" w:space="0" w:color="auto"/>
        <w:left w:val="none" w:sz="0" w:space="0" w:color="auto"/>
        <w:bottom w:val="none" w:sz="0" w:space="0" w:color="auto"/>
        <w:right w:val="none" w:sz="0" w:space="0" w:color="auto"/>
      </w:divBdr>
    </w:div>
    <w:div w:id="736585881">
      <w:bodyDiv w:val="1"/>
      <w:marLeft w:val="0"/>
      <w:marRight w:val="0"/>
      <w:marTop w:val="0"/>
      <w:marBottom w:val="0"/>
      <w:divBdr>
        <w:top w:val="none" w:sz="0" w:space="0" w:color="auto"/>
        <w:left w:val="none" w:sz="0" w:space="0" w:color="auto"/>
        <w:bottom w:val="none" w:sz="0" w:space="0" w:color="auto"/>
        <w:right w:val="none" w:sz="0" w:space="0" w:color="auto"/>
      </w:divBdr>
      <w:divsChild>
        <w:div w:id="9505512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d.salix.com/globalassets/pi/relistor-pi.pdf" TargetMode="External"/><Relationship Id="rId5" Type="http://schemas.openxmlformats.org/officeDocument/2006/relationships/hyperlink" Target="http://www.relistorhc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Prescription drug coverage determination</dc:subject>
  <dc:creator>CMS/CM/MEAG/DAP</dc:creator>
  <cp:keywords>Rx, prescription, coverage, determination, enrollee</cp:keywords>
  <cp:lastModifiedBy>Miller, Chad</cp:lastModifiedBy>
  <cp:revision>12</cp:revision>
  <cp:lastPrinted>2025-01-28T22:06:00Z</cp:lastPrinted>
  <dcterms:created xsi:type="dcterms:W3CDTF">2025-02-05T23:41:00Z</dcterms:created>
  <dcterms:modified xsi:type="dcterms:W3CDTF">2025-02-06T15:45:00Z</dcterms:modified>
</cp:coreProperties>
</file>